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CB1" w:rsidRPr="009E2643" w:rsidRDefault="002C2CB1" w:rsidP="00020F8B">
      <w:pPr>
        <w:keepNext/>
        <w:widowControl w:val="0"/>
        <w:tabs>
          <w:tab w:val="num" w:pos="0"/>
        </w:tabs>
        <w:suppressAutoHyphens/>
        <w:spacing w:before="240"/>
        <w:jc w:val="center"/>
        <w:outlineLvl w:val="0"/>
        <w:rPr>
          <w:b/>
          <w:color w:val="1F497D"/>
          <w:spacing w:val="20"/>
          <w:sz w:val="20"/>
          <w:szCs w:val="20"/>
          <w:lang w:val="uk-UA" w:eastAsia="zh-CN"/>
        </w:rPr>
      </w:pPr>
      <w:r w:rsidRPr="009E2643">
        <w:rPr>
          <w:b/>
          <w:color w:val="1F497D"/>
          <w:spacing w:val="20"/>
          <w:sz w:val="20"/>
          <w:szCs w:val="20"/>
          <w:lang w:val="uk-UA" w:eastAsia="zh-CN"/>
        </w:rPr>
        <w:t>КОМЕРЦІЙНА ПРОПОЗИЦІЯ</w:t>
      </w:r>
    </w:p>
    <w:p w:rsidR="002C2CB1" w:rsidRPr="009E2643" w:rsidRDefault="005D0CAD" w:rsidP="00020F8B">
      <w:pPr>
        <w:keepNext/>
        <w:widowControl w:val="0"/>
        <w:tabs>
          <w:tab w:val="num" w:pos="0"/>
        </w:tabs>
        <w:suppressAutoHyphens/>
        <w:spacing w:after="120"/>
        <w:jc w:val="center"/>
        <w:outlineLvl w:val="0"/>
        <w:rPr>
          <w:spacing w:val="20"/>
          <w:sz w:val="20"/>
          <w:szCs w:val="20"/>
          <w:lang w:val="uk-UA" w:eastAsia="zh-CN"/>
        </w:rPr>
      </w:pPr>
      <w:r w:rsidRPr="009E2643">
        <w:rPr>
          <w:spacing w:val="20"/>
          <w:sz w:val="20"/>
          <w:szCs w:val="20"/>
          <w:lang w:val="uk-UA" w:eastAsia="zh-CN"/>
        </w:rPr>
        <w:t>Факт 2</w:t>
      </w:r>
      <w:r w:rsidR="00E104B6" w:rsidRPr="009E2643">
        <w:rPr>
          <w:spacing w:val="20"/>
          <w:sz w:val="20"/>
          <w:szCs w:val="20"/>
          <w:lang w:val="uk-UA" w:eastAsia="zh-CN"/>
        </w:rPr>
        <w:t>-БЕТ-202</w:t>
      </w:r>
      <w:r w:rsidR="003A3E88" w:rsidRPr="009E2643">
        <w:rPr>
          <w:spacing w:val="20"/>
          <w:sz w:val="20"/>
          <w:szCs w:val="20"/>
          <w:lang w:val="uk-UA" w:eastAsia="zh-CN"/>
        </w:rPr>
        <w:t>1</w:t>
      </w:r>
    </w:p>
    <w:p w:rsidR="002C2CB1" w:rsidRPr="009E2643" w:rsidRDefault="002C2CB1" w:rsidP="00020F8B">
      <w:pPr>
        <w:spacing w:after="60"/>
        <w:jc w:val="both"/>
        <w:rPr>
          <w:sz w:val="20"/>
          <w:szCs w:val="20"/>
        </w:rPr>
      </w:pPr>
      <w:r w:rsidRPr="009E2643">
        <w:rPr>
          <w:sz w:val="20"/>
          <w:szCs w:val="20"/>
          <w:lang w:val="uk-UA"/>
        </w:rPr>
        <w:t>Ця комерційна пропозиція складена з метою врегулювання (визначення) особливостей постачання електричної енергії Споживачу. Обранням цієї комерційної пропозиції Споживач надає свою беззаперечну та безвідкличну згоду на застосування до нього умов постачання та оплати електричної енергії, визначених нижче.</w:t>
      </w:r>
    </w:p>
    <w:p w:rsidR="003543AF" w:rsidRPr="009E2643" w:rsidRDefault="003543AF" w:rsidP="002E3400">
      <w:pPr>
        <w:pStyle w:val="ae"/>
        <w:numPr>
          <w:ilvl w:val="0"/>
          <w:numId w:val="18"/>
        </w:numPr>
        <w:shd w:val="clear" w:color="auto" w:fill="BFBFBF"/>
        <w:suppressAutoHyphens/>
        <w:spacing w:before="120"/>
        <w:ind w:left="567" w:hanging="567"/>
        <w:jc w:val="both"/>
        <w:rPr>
          <w:rFonts w:eastAsia="SimSun"/>
          <w:kern w:val="1"/>
          <w:sz w:val="20"/>
          <w:szCs w:val="20"/>
          <w:lang w:val="uk-UA" w:eastAsia="zh-CN" w:bidi="hi-IN"/>
        </w:rPr>
      </w:pPr>
      <w:r w:rsidRPr="009E2643">
        <w:rPr>
          <w:rFonts w:eastAsia="SimSun"/>
          <w:b/>
          <w:kern w:val="1"/>
          <w:sz w:val="20"/>
          <w:szCs w:val="20"/>
          <w:lang w:val="uk-UA" w:eastAsia="uk-UA" w:bidi="hi-IN"/>
        </w:rPr>
        <w:t>Умови постачання електричної енергії</w:t>
      </w:r>
    </w:p>
    <w:p w:rsidR="003543AF" w:rsidRPr="009E2643" w:rsidRDefault="003543AF" w:rsidP="003543AF">
      <w:pPr>
        <w:suppressAutoHyphens/>
        <w:jc w:val="both"/>
        <w:rPr>
          <w:rFonts w:eastAsia="SimSun"/>
          <w:bCs/>
          <w:kern w:val="1"/>
          <w:sz w:val="20"/>
          <w:szCs w:val="20"/>
          <w:lang w:val="uk-UA" w:eastAsia="uk-UA" w:bidi="hi-IN"/>
        </w:rPr>
      </w:pPr>
      <w:r w:rsidRPr="009E2643">
        <w:rPr>
          <w:rFonts w:eastAsia="SimSun"/>
          <w:bCs/>
          <w:kern w:val="1"/>
          <w:sz w:val="20"/>
          <w:szCs w:val="20"/>
          <w:lang w:val="uk-UA" w:eastAsia="uk-UA" w:bidi="hi-IN"/>
        </w:rPr>
        <w:t>Постачання електричної енергії Споживачу здійснюється за умови, що:</w:t>
      </w:r>
    </w:p>
    <w:p w:rsidR="003543AF" w:rsidRPr="009E2643" w:rsidRDefault="003543AF" w:rsidP="003543AF">
      <w:pPr>
        <w:numPr>
          <w:ilvl w:val="0"/>
          <w:numId w:val="14"/>
        </w:numPr>
        <w:tabs>
          <w:tab w:val="left" w:pos="566"/>
        </w:tabs>
        <w:suppressAutoHyphens/>
        <w:ind w:left="566" w:hanging="283"/>
        <w:jc w:val="both"/>
        <w:rPr>
          <w:rFonts w:eastAsia="SimSun"/>
          <w:kern w:val="1"/>
          <w:sz w:val="20"/>
          <w:szCs w:val="20"/>
          <w:lang w:val="uk-UA" w:eastAsia="zh-CN" w:bidi="hi-IN"/>
        </w:rPr>
      </w:pPr>
      <w:r w:rsidRPr="009E2643">
        <w:rPr>
          <w:rFonts w:eastAsia="SimSun"/>
          <w:bCs/>
          <w:kern w:val="1"/>
          <w:sz w:val="20"/>
          <w:szCs w:val="20"/>
          <w:lang w:val="uk-UA" w:eastAsia="zh-CN" w:bidi="hi-IN"/>
        </w:rPr>
        <w:t>Споживач не має заборгованості перед Постачальником за договорами, які були укладені раніше;</w:t>
      </w:r>
    </w:p>
    <w:p w:rsidR="003543AF" w:rsidRPr="009E2643" w:rsidRDefault="003543AF" w:rsidP="003543AF">
      <w:pPr>
        <w:numPr>
          <w:ilvl w:val="0"/>
          <w:numId w:val="14"/>
        </w:numPr>
        <w:tabs>
          <w:tab w:val="left" w:pos="566"/>
        </w:tabs>
        <w:suppressAutoHyphens/>
        <w:ind w:left="566" w:hanging="283"/>
        <w:jc w:val="both"/>
        <w:rPr>
          <w:rFonts w:eastAsia="SimSun"/>
          <w:kern w:val="1"/>
          <w:sz w:val="20"/>
          <w:szCs w:val="20"/>
          <w:lang w:val="uk-UA" w:eastAsia="zh-CN" w:bidi="hi-IN"/>
        </w:rPr>
      </w:pPr>
      <w:r w:rsidRPr="009E2643">
        <w:rPr>
          <w:rFonts w:eastAsia="SimSun"/>
          <w:kern w:val="1"/>
          <w:sz w:val="20"/>
          <w:szCs w:val="20"/>
          <w:lang w:val="uk-UA" w:eastAsia="zh-CN" w:bidi="hi-IN"/>
        </w:rPr>
        <w:t>наявний комерційний облік електричної енергії забезпечує можливість застосування цін (тарифів), передбачених даною комерційною пропозицією;</w:t>
      </w:r>
    </w:p>
    <w:p w:rsidR="00E469A1" w:rsidRPr="009E2643" w:rsidRDefault="003543AF" w:rsidP="003543AF">
      <w:pPr>
        <w:spacing w:after="60"/>
        <w:jc w:val="both"/>
        <w:rPr>
          <w:sz w:val="20"/>
          <w:szCs w:val="20"/>
          <w:lang w:val="uk-UA"/>
        </w:rPr>
      </w:pPr>
      <w:r w:rsidRPr="009E2643">
        <w:rPr>
          <w:rFonts w:eastAsia="SimSun"/>
          <w:kern w:val="1"/>
          <w:sz w:val="20"/>
          <w:szCs w:val="20"/>
          <w:lang w:val="uk-UA" w:eastAsia="zh-CN" w:bidi="hi-IN"/>
        </w:rPr>
        <w:t>Споживач приєднався до умов договору споживача про надання послуг з розподілу (передачі) електричної енергії.</w:t>
      </w:r>
    </w:p>
    <w:p w:rsidR="003543AF" w:rsidRPr="009E2643" w:rsidRDefault="003543AF" w:rsidP="002E3400">
      <w:pPr>
        <w:pStyle w:val="ae"/>
        <w:numPr>
          <w:ilvl w:val="0"/>
          <w:numId w:val="18"/>
        </w:numPr>
        <w:shd w:val="clear" w:color="auto" w:fill="BFBFBF"/>
        <w:suppressAutoHyphens/>
        <w:spacing w:before="120"/>
        <w:ind w:left="567" w:hanging="567"/>
        <w:jc w:val="both"/>
        <w:rPr>
          <w:rFonts w:eastAsia="SimSun"/>
          <w:kern w:val="1"/>
          <w:sz w:val="20"/>
          <w:szCs w:val="20"/>
          <w:lang w:val="uk-UA" w:eastAsia="zh-CN" w:bidi="hi-IN"/>
        </w:rPr>
      </w:pPr>
      <w:r w:rsidRPr="009E2643">
        <w:rPr>
          <w:rFonts w:eastAsia="SimSun"/>
          <w:b/>
          <w:kern w:val="1"/>
          <w:sz w:val="20"/>
          <w:szCs w:val="20"/>
          <w:lang w:val="uk-UA" w:eastAsia="uk-UA" w:bidi="hi-IN"/>
        </w:rPr>
        <w:t>Територія постачання електричної енергії</w:t>
      </w:r>
    </w:p>
    <w:p w:rsidR="00E469A1" w:rsidRPr="009E2643" w:rsidRDefault="003543AF" w:rsidP="00020F8B">
      <w:pPr>
        <w:spacing w:after="60"/>
        <w:jc w:val="both"/>
        <w:rPr>
          <w:sz w:val="20"/>
          <w:szCs w:val="20"/>
          <w:lang w:val="uk-UA"/>
        </w:rPr>
      </w:pPr>
      <w:r w:rsidRPr="009E2643">
        <w:rPr>
          <w:rFonts w:eastAsia="SimSun"/>
          <w:bCs/>
          <w:kern w:val="1"/>
          <w:sz w:val="20"/>
          <w:szCs w:val="20"/>
          <w:lang w:val="uk-UA" w:eastAsia="zh-CN" w:bidi="hi-IN"/>
        </w:rPr>
        <w:t>Постачання електричної енергії здійснюється виключно на ті об’єкти Споживача, які знаходяться на території України і не перебувають на території, де органи державної влади України тимчасово не здійснюють або здійснюють не в повному обсязі свої повноваження.</w:t>
      </w:r>
    </w:p>
    <w:p w:rsidR="003543AF" w:rsidRPr="009E2643" w:rsidRDefault="003543AF" w:rsidP="002E3400">
      <w:pPr>
        <w:pStyle w:val="ae"/>
        <w:numPr>
          <w:ilvl w:val="0"/>
          <w:numId w:val="18"/>
        </w:numPr>
        <w:shd w:val="clear" w:color="auto" w:fill="BFBFBF"/>
        <w:suppressAutoHyphens/>
        <w:spacing w:before="120"/>
        <w:ind w:left="567" w:hanging="567"/>
        <w:jc w:val="both"/>
        <w:rPr>
          <w:rFonts w:eastAsia="SimSun"/>
          <w:kern w:val="1"/>
          <w:sz w:val="20"/>
          <w:szCs w:val="20"/>
          <w:lang w:val="uk-UA" w:eastAsia="zh-CN" w:bidi="hi-IN"/>
        </w:rPr>
      </w:pPr>
      <w:r w:rsidRPr="009E2643">
        <w:rPr>
          <w:rFonts w:eastAsia="SimSun"/>
          <w:b/>
          <w:kern w:val="1"/>
          <w:sz w:val="20"/>
          <w:szCs w:val="20"/>
          <w:lang w:val="uk-UA" w:eastAsia="uk-UA" w:bidi="hi-IN"/>
        </w:rPr>
        <w:t>Розрахунковий період</w:t>
      </w:r>
    </w:p>
    <w:p w:rsidR="003543AF" w:rsidRPr="009E2643" w:rsidRDefault="003543AF" w:rsidP="003543AF">
      <w:pPr>
        <w:spacing w:after="60"/>
        <w:jc w:val="both"/>
        <w:rPr>
          <w:sz w:val="20"/>
          <w:szCs w:val="20"/>
        </w:rPr>
      </w:pPr>
      <w:r w:rsidRPr="009E2643">
        <w:rPr>
          <w:rFonts w:eastAsia="SimSun"/>
          <w:bCs/>
          <w:kern w:val="1"/>
          <w:sz w:val="20"/>
          <w:szCs w:val="20"/>
          <w:lang w:val="uk-UA" w:eastAsia="zh-CN" w:bidi="hi-IN"/>
        </w:rPr>
        <w:t>Розрахунковим періодом за цією комерційною пропозицією є календарний місяць.</w:t>
      </w:r>
    </w:p>
    <w:p w:rsidR="003543AF" w:rsidRPr="009E2643" w:rsidRDefault="003543AF" w:rsidP="002E3400">
      <w:pPr>
        <w:pStyle w:val="ae"/>
        <w:numPr>
          <w:ilvl w:val="0"/>
          <w:numId w:val="18"/>
        </w:numPr>
        <w:shd w:val="clear" w:color="auto" w:fill="BFBFBF"/>
        <w:suppressAutoHyphens/>
        <w:spacing w:before="120"/>
        <w:ind w:left="567" w:hanging="567"/>
        <w:jc w:val="both"/>
        <w:rPr>
          <w:rFonts w:eastAsia="SimSun"/>
          <w:kern w:val="1"/>
          <w:sz w:val="20"/>
          <w:szCs w:val="20"/>
          <w:lang w:val="uk-UA" w:eastAsia="zh-CN" w:bidi="hi-IN"/>
        </w:rPr>
      </w:pPr>
      <w:r w:rsidRPr="009E2643">
        <w:rPr>
          <w:rFonts w:eastAsia="SimSun"/>
          <w:b/>
          <w:kern w:val="1"/>
          <w:sz w:val="20"/>
          <w:szCs w:val="20"/>
          <w:lang w:val="uk-UA" w:eastAsia="uk-UA" w:bidi="hi-IN"/>
        </w:rPr>
        <w:t>Вартість електричної енергії</w:t>
      </w:r>
    </w:p>
    <w:tbl>
      <w:tblPr>
        <w:tblW w:w="10229" w:type="dxa"/>
        <w:tblInd w:w="1" w:type="dxa"/>
        <w:tblLayout w:type="fixed"/>
        <w:tblCellMar>
          <w:left w:w="24" w:type="dxa"/>
          <w:right w:w="40" w:type="dxa"/>
        </w:tblCellMar>
        <w:tblLook w:val="0000" w:firstRow="0" w:lastRow="0" w:firstColumn="0" w:lastColumn="0" w:noHBand="0" w:noVBand="0"/>
      </w:tblPr>
      <w:tblGrid>
        <w:gridCol w:w="10229"/>
      </w:tblGrid>
      <w:tr w:rsidR="00F24D33" w:rsidRPr="009E2643" w:rsidTr="006D7876">
        <w:trPr>
          <w:trHeight w:val="55"/>
        </w:trPr>
        <w:tc>
          <w:tcPr>
            <w:tcW w:w="10229" w:type="dxa"/>
            <w:shd w:val="clear" w:color="auto" w:fill="auto"/>
          </w:tcPr>
          <w:p w:rsidR="00F24D33" w:rsidRPr="009E2643" w:rsidRDefault="00F24D33" w:rsidP="00F24D33">
            <w:pPr>
              <w:suppressAutoHyphens/>
              <w:jc w:val="both"/>
              <w:rPr>
                <w:rFonts w:eastAsia="SimSun"/>
                <w:bCs/>
                <w:kern w:val="1"/>
                <w:sz w:val="20"/>
                <w:szCs w:val="20"/>
                <w:lang w:eastAsia="zh-CN" w:bidi="hi-IN"/>
              </w:rPr>
            </w:pPr>
            <w:proofErr w:type="spellStart"/>
            <w:r w:rsidRPr="009E2643">
              <w:rPr>
                <w:rFonts w:eastAsia="SimSun"/>
                <w:bCs/>
                <w:kern w:val="1"/>
                <w:sz w:val="20"/>
                <w:szCs w:val="20"/>
                <w:lang w:eastAsia="zh-CN" w:bidi="hi-IN"/>
              </w:rPr>
              <w:t>Вартість</w:t>
            </w:r>
            <w:proofErr w:type="spellEnd"/>
            <w:r w:rsidRPr="009E2643">
              <w:rPr>
                <w:rFonts w:eastAsia="SimSun"/>
                <w:bCs/>
                <w:kern w:val="1"/>
                <w:sz w:val="20"/>
                <w:szCs w:val="20"/>
                <w:lang w:eastAsia="zh-CN" w:bidi="hi-IN"/>
              </w:rPr>
              <w:t xml:space="preserve"> </w:t>
            </w:r>
            <w:proofErr w:type="spellStart"/>
            <w:r w:rsidRPr="009E2643">
              <w:rPr>
                <w:rFonts w:eastAsia="SimSun"/>
                <w:bCs/>
                <w:kern w:val="1"/>
                <w:sz w:val="20"/>
                <w:szCs w:val="20"/>
                <w:lang w:eastAsia="zh-CN" w:bidi="hi-IN"/>
              </w:rPr>
              <w:t>спожитої</w:t>
            </w:r>
            <w:proofErr w:type="spellEnd"/>
            <w:r w:rsidRPr="009E2643">
              <w:rPr>
                <w:rFonts w:eastAsia="SimSun"/>
                <w:bCs/>
                <w:kern w:val="1"/>
                <w:sz w:val="20"/>
                <w:szCs w:val="20"/>
                <w:lang w:eastAsia="zh-CN" w:bidi="hi-IN"/>
              </w:rPr>
              <w:t xml:space="preserve"> </w:t>
            </w:r>
            <w:proofErr w:type="spellStart"/>
            <w:r w:rsidRPr="009E2643">
              <w:rPr>
                <w:rFonts w:eastAsia="SimSun"/>
                <w:bCs/>
                <w:kern w:val="1"/>
                <w:sz w:val="20"/>
                <w:szCs w:val="20"/>
                <w:lang w:eastAsia="zh-CN" w:bidi="hi-IN"/>
              </w:rPr>
              <w:t>електричної</w:t>
            </w:r>
            <w:proofErr w:type="spellEnd"/>
            <w:r w:rsidRPr="009E2643">
              <w:rPr>
                <w:rFonts w:eastAsia="SimSun"/>
                <w:bCs/>
                <w:kern w:val="1"/>
                <w:sz w:val="20"/>
                <w:szCs w:val="20"/>
                <w:lang w:eastAsia="zh-CN" w:bidi="hi-IN"/>
              </w:rPr>
              <w:t xml:space="preserve"> </w:t>
            </w:r>
            <w:proofErr w:type="spellStart"/>
            <w:r w:rsidRPr="009E2643">
              <w:rPr>
                <w:rFonts w:eastAsia="SimSun"/>
                <w:bCs/>
                <w:kern w:val="1"/>
                <w:sz w:val="20"/>
                <w:szCs w:val="20"/>
                <w:lang w:eastAsia="zh-CN" w:bidi="hi-IN"/>
              </w:rPr>
              <w:t>енергії</w:t>
            </w:r>
            <w:proofErr w:type="spellEnd"/>
            <w:r w:rsidRPr="009E2643">
              <w:rPr>
                <w:rFonts w:eastAsia="SimSun"/>
                <w:bCs/>
                <w:kern w:val="1"/>
                <w:sz w:val="20"/>
                <w:szCs w:val="20"/>
                <w:lang w:eastAsia="zh-CN" w:bidi="hi-IN"/>
              </w:rPr>
              <w:t xml:space="preserve"> </w:t>
            </w:r>
            <w:proofErr w:type="spellStart"/>
            <w:r w:rsidRPr="009E2643">
              <w:rPr>
                <w:rFonts w:eastAsia="SimSun"/>
                <w:bCs/>
                <w:kern w:val="1"/>
                <w:sz w:val="20"/>
                <w:szCs w:val="20"/>
                <w:lang w:eastAsia="zh-CN" w:bidi="hi-IN"/>
              </w:rPr>
              <w:t>визначається</w:t>
            </w:r>
            <w:proofErr w:type="spellEnd"/>
            <w:r w:rsidRPr="009E2643">
              <w:rPr>
                <w:rFonts w:eastAsia="SimSun"/>
                <w:bCs/>
                <w:kern w:val="1"/>
                <w:sz w:val="20"/>
                <w:szCs w:val="20"/>
                <w:lang w:eastAsia="zh-CN" w:bidi="hi-IN"/>
              </w:rPr>
              <w:t xml:space="preserve"> за формулою:</w:t>
            </w:r>
          </w:p>
          <w:p w:rsidR="00F24D33" w:rsidRPr="009E2643" w:rsidRDefault="00F24D33" w:rsidP="00F24D33">
            <w:pPr>
              <w:suppressAutoHyphens/>
              <w:jc w:val="both"/>
              <w:rPr>
                <w:rFonts w:eastAsia="SimSun"/>
                <w:bCs/>
                <w:kern w:val="1"/>
                <w:sz w:val="20"/>
                <w:szCs w:val="20"/>
                <w:lang w:eastAsia="zh-CN" w:bidi="hi-IN"/>
              </w:rPr>
            </w:pPr>
            <w:proofErr w:type="spellStart"/>
            <w:r w:rsidRPr="009E2643">
              <w:rPr>
                <w:rFonts w:eastAsia="SimSun"/>
                <w:bCs/>
                <w:kern w:val="1"/>
                <w:sz w:val="20"/>
                <w:szCs w:val="20"/>
                <w:lang w:eastAsia="zh-CN" w:bidi="hi-IN"/>
              </w:rPr>
              <w:t>Вартість</w:t>
            </w:r>
            <w:proofErr w:type="spellEnd"/>
            <w:r w:rsidRPr="009E2643">
              <w:rPr>
                <w:rFonts w:eastAsia="SimSun"/>
                <w:bCs/>
                <w:kern w:val="1"/>
                <w:sz w:val="20"/>
                <w:szCs w:val="20"/>
                <w:lang w:eastAsia="zh-CN" w:bidi="hi-IN"/>
              </w:rPr>
              <w:t xml:space="preserve"> = </w:t>
            </w:r>
            <w:proofErr w:type="spellStart"/>
            <w:r w:rsidRPr="009E2643">
              <w:rPr>
                <w:rFonts w:eastAsia="SimSun"/>
                <w:bCs/>
                <w:kern w:val="1"/>
                <w:sz w:val="20"/>
                <w:szCs w:val="20"/>
                <w:lang w:eastAsia="zh-CN" w:bidi="hi-IN"/>
              </w:rPr>
              <w:t>Ціна</w:t>
            </w:r>
            <w:proofErr w:type="spellEnd"/>
            <w:r w:rsidRPr="009E2643">
              <w:rPr>
                <w:rFonts w:eastAsia="SimSun"/>
                <w:bCs/>
                <w:kern w:val="1"/>
                <w:sz w:val="20"/>
                <w:szCs w:val="20"/>
                <w:lang w:eastAsia="zh-CN" w:bidi="hi-IN"/>
              </w:rPr>
              <w:t xml:space="preserve">   * </w:t>
            </w:r>
            <w:proofErr w:type="spellStart"/>
            <w:r w:rsidRPr="009E2643">
              <w:rPr>
                <w:rFonts w:eastAsia="SimSun"/>
                <w:bCs/>
                <w:kern w:val="1"/>
                <w:sz w:val="20"/>
                <w:szCs w:val="20"/>
                <w:lang w:eastAsia="zh-CN" w:bidi="hi-IN"/>
              </w:rPr>
              <w:t>Обсяг</w:t>
            </w:r>
            <w:proofErr w:type="spellEnd"/>
            <w:r w:rsidRPr="009E2643">
              <w:rPr>
                <w:rFonts w:eastAsia="SimSun"/>
                <w:bCs/>
                <w:kern w:val="1"/>
                <w:sz w:val="20"/>
                <w:szCs w:val="20"/>
                <w:lang w:eastAsia="zh-CN" w:bidi="hi-IN"/>
              </w:rPr>
              <w:t xml:space="preserve"> </w:t>
            </w:r>
            <w:proofErr w:type="gramStart"/>
            <w:r w:rsidRPr="009E2643">
              <w:rPr>
                <w:rFonts w:eastAsia="SimSun"/>
                <w:bCs/>
                <w:kern w:val="1"/>
                <w:sz w:val="20"/>
                <w:szCs w:val="20"/>
                <w:lang w:eastAsia="zh-CN" w:bidi="hi-IN"/>
              </w:rPr>
              <w:t xml:space="preserve">факт,   </w:t>
            </w:r>
            <w:proofErr w:type="gramEnd"/>
            <w:r w:rsidRPr="009E2643">
              <w:rPr>
                <w:rFonts w:eastAsia="SimSun"/>
                <w:bCs/>
                <w:kern w:val="1"/>
                <w:sz w:val="20"/>
                <w:szCs w:val="20"/>
                <w:lang w:eastAsia="zh-CN" w:bidi="hi-IN"/>
              </w:rPr>
              <w:t>де</w:t>
            </w:r>
          </w:p>
          <w:p w:rsidR="00F24D33" w:rsidRPr="009E2643" w:rsidRDefault="00F24D33" w:rsidP="00F24D33">
            <w:pPr>
              <w:suppressAutoHyphens/>
              <w:jc w:val="both"/>
              <w:rPr>
                <w:rFonts w:eastAsia="SimSun"/>
                <w:bCs/>
                <w:kern w:val="1"/>
                <w:sz w:val="20"/>
                <w:szCs w:val="20"/>
                <w:lang w:eastAsia="zh-CN" w:bidi="hi-IN"/>
              </w:rPr>
            </w:pPr>
            <w:proofErr w:type="spellStart"/>
            <w:r w:rsidRPr="009E2643">
              <w:rPr>
                <w:rFonts w:eastAsia="SimSun"/>
                <w:bCs/>
                <w:kern w:val="1"/>
                <w:sz w:val="20"/>
                <w:szCs w:val="20"/>
                <w:lang w:eastAsia="zh-CN" w:bidi="hi-IN"/>
              </w:rPr>
              <w:t>Ціна</w:t>
            </w:r>
            <w:proofErr w:type="spellEnd"/>
            <w:r w:rsidRPr="009E2643">
              <w:rPr>
                <w:rFonts w:eastAsia="SimSun"/>
                <w:bCs/>
                <w:kern w:val="1"/>
                <w:sz w:val="20"/>
                <w:szCs w:val="20"/>
                <w:lang w:eastAsia="zh-CN" w:bidi="hi-IN"/>
              </w:rPr>
              <w:t xml:space="preserve"> –</w:t>
            </w:r>
            <w:r w:rsidRPr="009E2643">
              <w:rPr>
                <w:rFonts w:eastAsia="SimSun"/>
                <w:bCs/>
                <w:kern w:val="1"/>
                <w:sz w:val="20"/>
                <w:szCs w:val="20"/>
                <w:lang w:eastAsia="zh-CN" w:bidi="hi-IN"/>
              </w:rPr>
              <w:tab/>
            </w:r>
            <w:r w:rsidR="005B35F2">
              <w:rPr>
                <w:rFonts w:eastAsia="SimSun"/>
                <w:bCs/>
                <w:kern w:val="1"/>
                <w:sz w:val="20"/>
                <w:szCs w:val="20"/>
                <w:lang w:val="uk-UA" w:eastAsia="zh-CN" w:bidi="hi-IN"/>
              </w:rPr>
              <w:t>ціна</w:t>
            </w:r>
            <w:r w:rsidRPr="009E2643">
              <w:rPr>
                <w:rFonts w:eastAsia="SimSun"/>
                <w:bCs/>
                <w:kern w:val="1"/>
                <w:sz w:val="20"/>
                <w:szCs w:val="20"/>
                <w:lang w:eastAsia="zh-CN" w:bidi="hi-IN"/>
              </w:rPr>
              <w:t xml:space="preserve"> </w:t>
            </w:r>
            <w:proofErr w:type="spellStart"/>
            <w:r w:rsidRPr="009E2643">
              <w:rPr>
                <w:rFonts w:eastAsia="SimSun"/>
                <w:bCs/>
                <w:kern w:val="1"/>
                <w:sz w:val="20"/>
                <w:szCs w:val="20"/>
                <w:lang w:eastAsia="zh-CN" w:bidi="hi-IN"/>
              </w:rPr>
              <w:t>електричної</w:t>
            </w:r>
            <w:proofErr w:type="spellEnd"/>
            <w:r w:rsidRPr="009E2643">
              <w:rPr>
                <w:rFonts w:eastAsia="SimSun"/>
                <w:bCs/>
                <w:kern w:val="1"/>
                <w:sz w:val="20"/>
                <w:szCs w:val="20"/>
                <w:lang w:eastAsia="zh-CN" w:bidi="hi-IN"/>
              </w:rPr>
              <w:t xml:space="preserve"> </w:t>
            </w:r>
            <w:proofErr w:type="spellStart"/>
            <w:r w:rsidRPr="009E2643">
              <w:rPr>
                <w:rFonts w:eastAsia="SimSun"/>
                <w:bCs/>
                <w:kern w:val="1"/>
                <w:sz w:val="20"/>
                <w:szCs w:val="20"/>
                <w:lang w:eastAsia="zh-CN" w:bidi="hi-IN"/>
              </w:rPr>
              <w:t>енергії</w:t>
            </w:r>
            <w:proofErr w:type="spellEnd"/>
            <w:r w:rsidRPr="009E2643">
              <w:rPr>
                <w:rFonts w:eastAsia="SimSun"/>
                <w:bCs/>
                <w:kern w:val="1"/>
                <w:sz w:val="20"/>
                <w:szCs w:val="20"/>
                <w:lang w:val="uk-UA" w:eastAsia="zh-CN" w:bidi="hi-IN"/>
              </w:rPr>
              <w:t xml:space="preserve"> за одиницю товару</w:t>
            </w:r>
            <w:r w:rsidR="005B35F2">
              <w:rPr>
                <w:rFonts w:eastAsia="SimSun"/>
                <w:bCs/>
                <w:kern w:val="1"/>
                <w:sz w:val="20"/>
                <w:szCs w:val="20"/>
                <w:lang w:val="uk-UA" w:eastAsia="zh-CN" w:bidi="hi-IN"/>
              </w:rPr>
              <w:t xml:space="preserve"> </w:t>
            </w:r>
            <w:r w:rsidR="005B35F2" w:rsidRPr="009E2643">
              <w:rPr>
                <w:rFonts w:eastAsia="SimSun"/>
                <w:bCs/>
                <w:kern w:val="1"/>
                <w:sz w:val="20"/>
                <w:szCs w:val="20"/>
                <w:lang w:eastAsia="zh-CN" w:bidi="hi-IN"/>
              </w:rPr>
              <w:t>(1 кВт год)</w:t>
            </w:r>
            <w:r w:rsidRPr="009E2643">
              <w:rPr>
                <w:rFonts w:eastAsia="SimSun"/>
                <w:bCs/>
                <w:kern w:val="1"/>
                <w:sz w:val="20"/>
                <w:szCs w:val="20"/>
                <w:lang w:val="uk-UA" w:eastAsia="zh-CN" w:bidi="hi-IN"/>
              </w:rPr>
              <w:t>.</w:t>
            </w:r>
          </w:p>
          <w:p w:rsidR="00F24D33" w:rsidRPr="009E2643" w:rsidRDefault="00F24D33" w:rsidP="00F24D33">
            <w:pPr>
              <w:suppressAutoHyphens/>
              <w:jc w:val="both"/>
              <w:rPr>
                <w:rFonts w:eastAsia="SimSun"/>
                <w:bCs/>
                <w:kern w:val="1"/>
                <w:sz w:val="20"/>
                <w:szCs w:val="20"/>
                <w:lang w:eastAsia="zh-CN" w:bidi="hi-IN"/>
              </w:rPr>
            </w:pPr>
            <w:proofErr w:type="spellStart"/>
            <w:r w:rsidRPr="009E2643">
              <w:rPr>
                <w:rFonts w:eastAsia="SimSun"/>
                <w:bCs/>
                <w:kern w:val="1"/>
                <w:sz w:val="20"/>
                <w:szCs w:val="20"/>
                <w:lang w:eastAsia="zh-CN" w:bidi="hi-IN"/>
              </w:rPr>
              <w:t>Обсяг</w:t>
            </w:r>
            <w:proofErr w:type="spellEnd"/>
            <w:r w:rsidRPr="009E2643">
              <w:rPr>
                <w:rFonts w:eastAsia="SimSun"/>
                <w:bCs/>
                <w:kern w:val="1"/>
                <w:sz w:val="20"/>
                <w:szCs w:val="20"/>
                <w:lang w:eastAsia="zh-CN" w:bidi="hi-IN"/>
              </w:rPr>
              <w:t xml:space="preserve"> факт – </w:t>
            </w:r>
            <w:r w:rsidRPr="009E2643">
              <w:rPr>
                <w:rFonts w:eastAsia="SimSun"/>
                <w:bCs/>
                <w:kern w:val="1"/>
                <w:sz w:val="20"/>
                <w:szCs w:val="20"/>
                <w:lang w:eastAsia="zh-CN" w:bidi="hi-IN"/>
              </w:rPr>
              <w:tab/>
            </w:r>
            <w:proofErr w:type="spellStart"/>
            <w:r w:rsidRPr="009E2643">
              <w:rPr>
                <w:rFonts w:eastAsia="SimSun"/>
                <w:bCs/>
                <w:kern w:val="1"/>
                <w:sz w:val="20"/>
                <w:szCs w:val="20"/>
                <w:lang w:eastAsia="zh-CN" w:bidi="hi-IN"/>
              </w:rPr>
              <w:t>фактичний</w:t>
            </w:r>
            <w:proofErr w:type="spellEnd"/>
            <w:r w:rsidRPr="009E2643">
              <w:rPr>
                <w:rFonts w:eastAsia="SimSun"/>
                <w:bCs/>
                <w:kern w:val="1"/>
                <w:sz w:val="20"/>
                <w:szCs w:val="20"/>
                <w:lang w:eastAsia="zh-CN" w:bidi="hi-IN"/>
              </w:rPr>
              <w:t xml:space="preserve"> </w:t>
            </w:r>
            <w:proofErr w:type="spellStart"/>
            <w:r w:rsidRPr="009E2643">
              <w:rPr>
                <w:rFonts w:eastAsia="SimSun"/>
                <w:bCs/>
                <w:kern w:val="1"/>
                <w:sz w:val="20"/>
                <w:szCs w:val="20"/>
                <w:lang w:eastAsia="zh-CN" w:bidi="hi-IN"/>
              </w:rPr>
              <w:t>обсяг</w:t>
            </w:r>
            <w:proofErr w:type="spellEnd"/>
            <w:r w:rsidRPr="009E2643">
              <w:rPr>
                <w:rFonts w:eastAsia="SimSun"/>
                <w:bCs/>
                <w:kern w:val="1"/>
                <w:sz w:val="20"/>
                <w:szCs w:val="20"/>
                <w:lang w:eastAsia="zh-CN" w:bidi="hi-IN"/>
              </w:rPr>
              <w:t xml:space="preserve"> </w:t>
            </w:r>
            <w:proofErr w:type="spellStart"/>
            <w:r w:rsidRPr="009E2643">
              <w:rPr>
                <w:rFonts w:eastAsia="SimSun"/>
                <w:bCs/>
                <w:kern w:val="1"/>
                <w:sz w:val="20"/>
                <w:szCs w:val="20"/>
                <w:lang w:eastAsia="zh-CN" w:bidi="hi-IN"/>
              </w:rPr>
              <w:t>спожитої</w:t>
            </w:r>
            <w:proofErr w:type="spellEnd"/>
            <w:r w:rsidRPr="009E2643">
              <w:rPr>
                <w:rFonts w:eastAsia="SimSun"/>
                <w:bCs/>
                <w:kern w:val="1"/>
                <w:sz w:val="20"/>
                <w:szCs w:val="20"/>
                <w:lang w:eastAsia="zh-CN" w:bidi="hi-IN"/>
              </w:rPr>
              <w:t xml:space="preserve"> </w:t>
            </w:r>
            <w:proofErr w:type="spellStart"/>
            <w:r w:rsidRPr="009E2643">
              <w:rPr>
                <w:rFonts w:eastAsia="SimSun"/>
                <w:bCs/>
                <w:kern w:val="1"/>
                <w:sz w:val="20"/>
                <w:szCs w:val="20"/>
                <w:lang w:eastAsia="zh-CN" w:bidi="hi-IN"/>
              </w:rPr>
              <w:t>Споживачем</w:t>
            </w:r>
            <w:proofErr w:type="spellEnd"/>
            <w:r w:rsidRPr="009E2643">
              <w:rPr>
                <w:rFonts w:eastAsia="SimSun"/>
                <w:bCs/>
                <w:kern w:val="1"/>
                <w:sz w:val="20"/>
                <w:szCs w:val="20"/>
                <w:lang w:eastAsia="zh-CN" w:bidi="hi-IN"/>
              </w:rPr>
              <w:t xml:space="preserve"> </w:t>
            </w:r>
            <w:proofErr w:type="spellStart"/>
            <w:r w:rsidRPr="009E2643">
              <w:rPr>
                <w:rFonts w:eastAsia="SimSun"/>
                <w:bCs/>
                <w:kern w:val="1"/>
                <w:sz w:val="20"/>
                <w:szCs w:val="20"/>
                <w:lang w:eastAsia="zh-CN" w:bidi="hi-IN"/>
              </w:rPr>
              <w:t>електричної</w:t>
            </w:r>
            <w:proofErr w:type="spellEnd"/>
            <w:r w:rsidRPr="009E2643">
              <w:rPr>
                <w:rFonts w:eastAsia="SimSun"/>
                <w:bCs/>
                <w:kern w:val="1"/>
                <w:sz w:val="20"/>
                <w:szCs w:val="20"/>
                <w:lang w:eastAsia="zh-CN" w:bidi="hi-IN"/>
              </w:rPr>
              <w:t xml:space="preserve"> </w:t>
            </w:r>
            <w:proofErr w:type="spellStart"/>
            <w:r w:rsidRPr="009E2643">
              <w:rPr>
                <w:rFonts w:eastAsia="SimSun"/>
                <w:bCs/>
                <w:kern w:val="1"/>
                <w:sz w:val="20"/>
                <w:szCs w:val="20"/>
                <w:lang w:eastAsia="zh-CN" w:bidi="hi-IN"/>
              </w:rPr>
              <w:t>енергії</w:t>
            </w:r>
            <w:proofErr w:type="spellEnd"/>
            <w:r w:rsidRPr="009E2643">
              <w:rPr>
                <w:rFonts w:eastAsia="SimSun"/>
                <w:bCs/>
                <w:kern w:val="1"/>
                <w:sz w:val="20"/>
                <w:szCs w:val="20"/>
                <w:lang w:eastAsia="zh-CN" w:bidi="hi-IN"/>
              </w:rPr>
              <w:t xml:space="preserve"> в </w:t>
            </w:r>
            <w:proofErr w:type="spellStart"/>
            <w:r w:rsidRPr="009E2643">
              <w:rPr>
                <w:rFonts w:eastAsia="SimSun"/>
                <w:bCs/>
                <w:kern w:val="1"/>
                <w:sz w:val="20"/>
                <w:szCs w:val="20"/>
                <w:lang w:eastAsia="zh-CN" w:bidi="hi-IN"/>
              </w:rPr>
              <w:t>розрахунковому</w:t>
            </w:r>
            <w:proofErr w:type="spellEnd"/>
            <w:r w:rsidRPr="009E2643">
              <w:rPr>
                <w:rFonts w:eastAsia="SimSun"/>
                <w:bCs/>
                <w:kern w:val="1"/>
                <w:sz w:val="20"/>
                <w:szCs w:val="20"/>
                <w:lang w:eastAsia="zh-CN" w:bidi="hi-IN"/>
              </w:rPr>
              <w:t xml:space="preserve"> </w:t>
            </w:r>
            <w:proofErr w:type="spellStart"/>
            <w:r w:rsidRPr="009E2643">
              <w:rPr>
                <w:rFonts w:eastAsia="SimSun"/>
                <w:bCs/>
                <w:kern w:val="1"/>
                <w:sz w:val="20"/>
                <w:szCs w:val="20"/>
                <w:lang w:eastAsia="zh-CN" w:bidi="hi-IN"/>
              </w:rPr>
              <w:t>періоді</w:t>
            </w:r>
            <w:proofErr w:type="spellEnd"/>
            <w:r w:rsidRPr="009E2643">
              <w:rPr>
                <w:rFonts w:eastAsia="SimSun"/>
                <w:bCs/>
                <w:kern w:val="1"/>
                <w:sz w:val="20"/>
                <w:szCs w:val="20"/>
                <w:lang w:eastAsia="zh-CN" w:bidi="hi-IN"/>
              </w:rPr>
              <w:t xml:space="preserve"> </w:t>
            </w:r>
            <w:proofErr w:type="spellStart"/>
            <w:r w:rsidRPr="009E2643">
              <w:rPr>
                <w:rFonts w:eastAsia="SimSun"/>
                <w:bCs/>
                <w:kern w:val="1"/>
                <w:sz w:val="20"/>
                <w:szCs w:val="20"/>
                <w:lang w:eastAsia="zh-CN" w:bidi="hi-IN"/>
              </w:rPr>
              <w:t>відповідно</w:t>
            </w:r>
            <w:proofErr w:type="spellEnd"/>
            <w:r w:rsidRPr="009E2643">
              <w:rPr>
                <w:rFonts w:eastAsia="SimSun"/>
                <w:bCs/>
                <w:kern w:val="1"/>
                <w:sz w:val="20"/>
                <w:szCs w:val="20"/>
                <w:lang w:eastAsia="zh-CN" w:bidi="hi-IN"/>
              </w:rPr>
              <w:t xml:space="preserve"> до </w:t>
            </w:r>
            <w:proofErr w:type="spellStart"/>
            <w:r w:rsidRPr="009E2643">
              <w:rPr>
                <w:rFonts w:eastAsia="SimSun"/>
                <w:bCs/>
                <w:kern w:val="1"/>
                <w:sz w:val="20"/>
                <w:szCs w:val="20"/>
                <w:lang w:eastAsia="zh-CN" w:bidi="hi-IN"/>
              </w:rPr>
              <w:t>даних</w:t>
            </w:r>
            <w:proofErr w:type="spellEnd"/>
            <w:r w:rsidRPr="009E2643">
              <w:rPr>
                <w:rFonts w:eastAsia="SimSun"/>
                <w:bCs/>
                <w:kern w:val="1"/>
                <w:sz w:val="20"/>
                <w:szCs w:val="20"/>
                <w:lang w:eastAsia="zh-CN" w:bidi="hi-IN"/>
              </w:rPr>
              <w:t xml:space="preserve"> ОСР </w:t>
            </w:r>
            <w:proofErr w:type="spellStart"/>
            <w:r w:rsidRPr="009E2643">
              <w:rPr>
                <w:rFonts w:eastAsia="SimSun"/>
                <w:bCs/>
                <w:kern w:val="1"/>
                <w:sz w:val="20"/>
                <w:szCs w:val="20"/>
                <w:lang w:eastAsia="zh-CN" w:bidi="hi-IN"/>
              </w:rPr>
              <w:t>чи</w:t>
            </w:r>
            <w:proofErr w:type="spellEnd"/>
            <w:r w:rsidRPr="009E2643">
              <w:rPr>
                <w:rFonts w:eastAsia="SimSun"/>
                <w:bCs/>
                <w:kern w:val="1"/>
                <w:sz w:val="20"/>
                <w:szCs w:val="20"/>
                <w:lang w:eastAsia="zh-CN" w:bidi="hi-IN"/>
              </w:rPr>
              <w:t xml:space="preserve"> ОСП.</w:t>
            </w:r>
          </w:p>
          <w:p w:rsidR="00F24D33" w:rsidRPr="009E2643" w:rsidRDefault="00F24D33" w:rsidP="00F24D33">
            <w:pPr>
              <w:suppressAutoHyphens/>
              <w:jc w:val="both"/>
              <w:rPr>
                <w:rFonts w:eastAsia="SimSun"/>
                <w:bCs/>
                <w:kern w:val="1"/>
                <w:sz w:val="20"/>
                <w:szCs w:val="20"/>
                <w:lang w:eastAsia="zh-CN" w:bidi="hi-IN"/>
              </w:rPr>
            </w:pPr>
          </w:p>
        </w:tc>
      </w:tr>
      <w:tr w:rsidR="00F24D33" w:rsidRPr="009E2643" w:rsidTr="006D7876">
        <w:trPr>
          <w:trHeight w:val="55"/>
        </w:trPr>
        <w:tc>
          <w:tcPr>
            <w:tcW w:w="10229" w:type="dxa"/>
            <w:shd w:val="clear" w:color="auto" w:fill="auto"/>
          </w:tcPr>
          <w:p w:rsidR="00F24D33" w:rsidRPr="009E2643" w:rsidRDefault="00F24D33" w:rsidP="00F24D33">
            <w:pPr>
              <w:pStyle w:val="ae"/>
              <w:numPr>
                <w:ilvl w:val="0"/>
                <w:numId w:val="18"/>
              </w:numPr>
              <w:suppressAutoHyphens/>
              <w:ind w:left="0" w:hanging="425"/>
              <w:rPr>
                <w:rFonts w:eastAsia="SimSun"/>
                <w:bCs/>
                <w:kern w:val="1"/>
                <w:sz w:val="20"/>
                <w:szCs w:val="20"/>
                <w:lang w:eastAsia="zh-CN" w:bidi="hi-IN"/>
              </w:rPr>
            </w:pPr>
            <w:proofErr w:type="spellStart"/>
            <w:r w:rsidRPr="009E2643">
              <w:rPr>
                <w:rFonts w:eastAsia="SimSun"/>
                <w:bCs/>
                <w:kern w:val="1"/>
                <w:sz w:val="20"/>
                <w:szCs w:val="20"/>
                <w:lang w:eastAsia="zh-CN" w:bidi="hi-IN"/>
              </w:rPr>
              <w:t>Ціна</w:t>
            </w:r>
            <w:proofErr w:type="spellEnd"/>
          </w:p>
        </w:tc>
      </w:tr>
      <w:tr w:rsidR="00F24D33" w:rsidRPr="009E2643" w:rsidTr="006D7876">
        <w:trPr>
          <w:trHeight w:val="55"/>
        </w:trPr>
        <w:tc>
          <w:tcPr>
            <w:tcW w:w="10229" w:type="dxa"/>
            <w:shd w:val="clear" w:color="auto" w:fill="auto"/>
          </w:tcPr>
          <w:p w:rsidR="00F24D33" w:rsidRPr="009E2643" w:rsidRDefault="00F24D33" w:rsidP="00F24D33">
            <w:pPr>
              <w:suppressAutoHyphens/>
              <w:jc w:val="both"/>
              <w:rPr>
                <w:rFonts w:eastAsia="SimSun"/>
                <w:bCs/>
                <w:kern w:val="1"/>
                <w:sz w:val="20"/>
                <w:szCs w:val="20"/>
                <w:lang w:eastAsia="zh-CN" w:bidi="hi-IN"/>
              </w:rPr>
            </w:pPr>
            <w:proofErr w:type="spellStart"/>
            <w:r w:rsidRPr="009E2643">
              <w:rPr>
                <w:rFonts w:eastAsia="SimSun"/>
                <w:bCs/>
                <w:kern w:val="1"/>
                <w:sz w:val="20"/>
                <w:szCs w:val="20"/>
                <w:lang w:eastAsia="zh-CN" w:bidi="hi-IN"/>
              </w:rPr>
              <w:t>Ціна</w:t>
            </w:r>
            <w:proofErr w:type="spellEnd"/>
            <w:r w:rsidRPr="009E2643">
              <w:rPr>
                <w:rFonts w:eastAsia="SimSun"/>
                <w:bCs/>
                <w:kern w:val="1"/>
                <w:sz w:val="20"/>
                <w:szCs w:val="20"/>
                <w:lang w:eastAsia="zh-CN" w:bidi="hi-IN"/>
              </w:rPr>
              <w:t xml:space="preserve"> за </w:t>
            </w:r>
            <w:proofErr w:type="spellStart"/>
            <w:r w:rsidRPr="009E2643">
              <w:rPr>
                <w:rFonts w:eastAsia="SimSun"/>
                <w:bCs/>
                <w:kern w:val="1"/>
                <w:sz w:val="20"/>
                <w:szCs w:val="20"/>
                <w:lang w:eastAsia="zh-CN" w:bidi="hi-IN"/>
              </w:rPr>
              <w:t>одиницю</w:t>
            </w:r>
            <w:proofErr w:type="spellEnd"/>
            <w:r w:rsidRPr="009E2643">
              <w:rPr>
                <w:rFonts w:eastAsia="SimSun"/>
                <w:bCs/>
                <w:kern w:val="1"/>
                <w:sz w:val="20"/>
                <w:szCs w:val="20"/>
                <w:lang w:eastAsia="zh-CN" w:bidi="hi-IN"/>
              </w:rPr>
              <w:t xml:space="preserve"> товару (1 кВт год) </w:t>
            </w:r>
            <w:proofErr w:type="spellStart"/>
            <w:r w:rsidRPr="009E2643">
              <w:rPr>
                <w:rFonts w:eastAsia="SimSun"/>
                <w:bCs/>
                <w:kern w:val="1"/>
                <w:sz w:val="20"/>
                <w:szCs w:val="20"/>
                <w:lang w:eastAsia="zh-CN" w:bidi="hi-IN"/>
              </w:rPr>
              <w:t>визначається</w:t>
            </w:r>
            <w:proofErr w:type="spellEnd"/>
            <w:r w:rsidRPr="009E2643">
              <w:rPr>
                <w:rFonts w:eastAsia="SimSun"/>
                <w:bCs/>
                <w:kern w:val="1"/>
                <w:sz w:val="20"/>
                <w:szCs w:val="20"/>
                <w:lang w:eastAsia="zh-CN" w:bidi="hi-IN"/>
              </w:rPr>
              <w:t xml:space="preserve"> з </w:t>
            </w:r>
            <w:proofErr w:type="spellStart"/>
            <w:r w:rsidRPr="009E2643">
              <w:rPr>
                <w:rFonts w:eastAsia="SimSun"/>
                <w:bCs/>
                <w:kern w:val="1"/>
                <w:sz w:val="20"/>
                <w:szCs w:val="20"/>
                <w:lang w:eastAsia="zh-CN" w:bidi="hi-IN"/>
              </w:rPr>
              <w:t>урахуванням</w:t>
            </w:r>
            <w:proofErr w:type="spellEnd"/>
            <w:r w:rsidRPr="009E2643">
              <w:rPr>
                <w:rFonts w:eastAsia="SimSun"/>
                <w:bCs/>
                <w:kern w:val="1"/>
                <w:sz w:val="20"/>
                <w:szCs w:val="20"/>
                <w:lang w:eastAsia="zh-CN" w:bidi="hi-IN"/>
              </w:rPr>
              <w:t xml:space="preserve"> </w:t>
            </w:r>
            <w:proofErr w:type="spellStart"/>
            <w:r w:rsidRPr="009E2643">
              <w:rPr>
                <w:rFonts w:eastAsia="SimSun"/>
                <w:bCs/>
                <w:kern w:val="1"/>
                <w:sz w:val="20"/>
                <w:szCs w:val="20"/>
                <w:lang w:eastAsia="zh-CN" w:bidi="hi-IN"/>
              </w:rPr>
              <w:t>існуючих</w:t>
            </w:r>
            <w:proofErr w:type="spellEnd"/>
            <w:r w:rsidRPr="009E2643">
              <w:rPr>
                <w:rFonts w:eastAsia="SimSun"/>
                <w:bCs/>
                <w:kern w:val="1"/>
                <w:sz w:val="20"/>
                <w:szCs w:val="20"/>
                <w:lang w:eastAsia="zh-CN" w:bidi="hi-IN"/>
              </w:rPr>
              <w:t xml:space="preserve"> </w:t>
            </w:r>
            <w:proofErr w:type="spellStart"/>
            <w:r w:rsidRPr="009E2643">
              <w:rPr>
                <w:rFonts w:eastAsia="SimSun"/>
                <w:bCs/>
                <w:kern w:val="1"/>
                <w:sz w:val="20"/>
                <w:szCs w:val="20"/>
                <w:lang w:eastAsia="zh-CN" w:bidi="hi-IN"/>
              </w:rPr>
              <w:t>цін</w:t>
            </w:r>
            <w:proofErr w:type="spellEnd"/>
            <w:r w:rsidRPr="009E2643">
              <w:rPr>
                <w:rFonts w:eastAsia="SimSun"/>
                <w:bCs/>
                <w:kern w:val="1"/>
                <w:sz w:val="20"/>
                <w:szCs w:val="20"/>
                <w:lang w:eastAsia="zh-CN" w:bidi="hi-IN"/>
              </w:rPr>
              <w:t xml:space="preserve"> </w:t>
            </w:r>
            <w:proofErr w:type="gramStart"/>
            <w:r w:rsidRPr="009E2643">
              <w:rPr>
                <w:rFonts w:eastAsia="SimSun"/>
                <w:bCs/>
                <w:kern w:val="1"/>
                <w:sz w:val="20"/>
                <w:szCs w:val="20"/>
                <w:lang w:eastAsia="zh-CN" w:bidi="hi-IN"/>
              </w:rPr>
              <w:t>на ринку</w:t>
            </w:r>
            <w:proofErr w:type="gramEnd"/>
            <w:r w:rsidRPr="009E2643">
              <w:rPr>
                <w:rFonts w:eastAsia="SimSun"/>
                <w:bCs/>
                <w:kern w:val="1"/>
                <w:sz w:val="20"/>
                <w:szCs w:val="20"/>
                <w:lang w:eastAsia="zh-CN" w:bidi="hi-IN"/>
              </w:rPr>
              <w:t xml:space="preserve"> </w:t>
            </w:r>
            <w:proofErr w:type="spellStart"/>
            <w:r w:rsidRPr="009E2643">
              <w:rPr>
                <w:rFonts w:eastAsia="SimSun"/>
                <w:bCs/>
                <w:kern w:val="1"/>
                <w:sz w:val="20"/>
                <w:szCs w:val="20"/>
                <w:lang w:eastAsia="zh-CN" w:bidi="hi-IN"/>
              </w:rPr>
              <w:t>електричної</w:t>
            </w:r>
            <w:proofErr w:type="spellEnd"/>
            <w:r w:rsidRPr="009E2643">
              <w:rPr>
                <w:rFonts w:eastAsia="SimSun"/>
                <w:bCs/>
                <w:kern w:val="1"/>
                <w:sz w:val="20"/>
                <w:szCs w:val="20"/>
                <w:lang w:eastAsia="zh-CN" w:bidi="hi-IN"/>
              </w:rPr>
              <w:t xml:space="preserve"> </w:t>
            </w:r>
            <w:proofErr w:type="spellStart"/>
            <w:r w:rsidRPr="009E2643">
              <w:rPr>
                <w:rFonts w:eastAsia="SimSun"/>
                <w:bCs/>
                <w:kern w:val="1"/>
                <w:sz w:val="20"/>
                <w:szCs w:val="20"/>
                <w:lang w:eastAsia="zh-CN" w:bidi="hi-IN"/>
              </w:rPr>
              <w:t>енергії</w:t>
            </w:r>
            <w:proofErr w:type="spellEnd"/>
            <w:r w:rsidRPr="009E2643">
              <w:rPr>
                <w:rFonts w:eastAsia="SimSun"/>
                <w:bCs/>
                <w:kern w:val="1"/>
                <w:sz w:val="20"/>
                <w:szCs w:val="20"/>
                <w:lang w:eastAsia="zh-CN" w:bidi="hi-IN"/>
              </w:rPr>
              <w:t xml:space="preserve"> та </w:t>
            </w:r>
            <w:proofErr w:type="spellStart"/>
            <w:r w:rsidRPr="009E2643">
              <w:rPr>
                <w:rFonts w:eastAsia="SimSun"/>
                <w:bCs/>
                <w:kern w:val="1"/>
                <w:sz w:val="20"/>
                <w:szCs w:val="20"/>
                <w:lang w:eastAsia="zh-CN" w:bidi="hi-IN"/>
              </w:rPr>
              <w:t>включає</w:t>
            </w:r>
            <w:proofErr w:type="spellEnd"/>
            <w:r w:rsidRPr="009E2643">
              <w:rPr>
                <w:rFonts w:eastAsia="SimSun"/>
                <w:bCs/>
                <w:kern w:val="1"/>
                <w:sz w:val="20"/>
                <w:szCs w:val="20"/>
                <w:lang w:eastAsia="zh-CN" w:bidi="hi-IN"/>
              </w:rPr>
              <w:t xml:space="preserve"> у себе плату за </w:t>
            </w:r>
            <w:proofErr w:type="spellStart"/>
            <w:r w:rsidRPr="009E2643">
              <w:rPr>
                <w:rFonts w:eastAsia="SimSun"/>
                <w:bCs/>
                <w:kern w:val="1"/>
                <w:sz w:val="20"/>
                <w:szCs w:val="20"/>
                <w:lang w:eastAsia="zh-CN" w:bidi="hi-IN"/>
              </w:rPr>
              <w:t>послуги</w:t>
            </w:r>
            <w:proofErr w:type="spellEnd"/>
            <w:r w:rsidRPr="009E2643">
              <w:rPr>
                <w:rFonts w:eastAsia="SimSun"/>
                <w:bCs/>
                <w:kern w:val="1"/>
                <w:sz w:val="20"/>
                <w:szCs w:val="20"/>
                <w:lang w:eastAsia="zh-CN" w:bidi="hi-IN"/>
              </w:rPr>
              <w:t xml:space="preserve"> </w:t>
            </w:r>
            <w:r w:rsidRPr="009E2643">
              <w:rPr>
                <w:rFonts w:eastAsia="SimSun"/>
                <w:bCs/>
                <w:kern w:val="1"/>
                <w:sz w:val="20"/>
                <w:szCs w:val="20"/>
                <w:lang w:val="uk-UA" w:eastAsia="zh-CN" w:bidi="hi-IN"/>
              </w:rPr>
              <w:t>п</w:t>
            </w:r>
            <w:proofErr w:type="spellStart"/>
            <w:r w:rsidRPr="009E2643">
              <w:rPr>
                <w:rFonts w:eastAsia="SimSun"/>
                <w:bCs/>
                <w:kern w:val="1"/>
                <w:sz w:val="20"/>
                <w:szCs w:val="20"/>
                <w:lang w:eastAsia="zh-CN" w:bidi="hi-IN"/>
              </w:rPr>
              <w:t>остачання</w:t>
            </w:r>
            <w:proofErr w:type="spellEnd"/>
            <w:r w:rsidRPr="009E2643">
              <w:rPr>
                <w:rFonts w:eastAsia="SimSun"/>
                <w:bCs/>
                <w:kern w:val="1"/>
                <w:sz w:val="20"/>
                <w:szCs w:val="20"/>
                <w:lang w:eastAsia="zh-CN" w:bidi="hi-IN"/>
              </w:rPr>
              <w:t xml:space="preserve"> </w:t>
            </w:r>
            <w:proofErr w:type="spellStart"/>
            <w:r w:rsidRPr="009E2643">
              <w:rPr>
                <w:rFonts w:eastAsia="SimSun"/>
                <w:bCs/>
                <w:kern w:val="1"/>
                <w:sz w:val="20"/>
                <w:szCs w:val="20"/>
                <w:lang w:eastAsia="zh-CN" w:bidi="hi-IN"/>
              </w:rPr>
              <w:t>електроенергії</w:t>
            </w:r>
            <w:proofErr w:type="spellEnd"/>
            <w:r w:rsidRPr="009E2643">
              <w:rPr>
                <w:rFonts w:eastAsia="SimSun"/>
                <w:bCs/>
                <w:kern w:val="1"/>
                <w:sz w:val="20"/>
                <w:szCs w:val="20"/>
                <w:lang w:eastAsia="zh-CN" w:bidi="hi-IN"/>
              </w:rPr>
              <w:t>.</w:t>
            </w:r>
          </w:p>
          <w:p w:rsidR="00F24D33" w:rsidRPr="009E2643" w:rsidRDefault="00F24D33" w:rsidP="00F24D33">
            <w:pPr>
              <w:suppressAutoHyphens/>
              <w:jc w:val="both"/>
              <w:rPr>
                <w:rFonts w:eastAsia="SimSun"/>
                <w:bCs/>
                <w:kern w:val="1"/>
                <w:sz w:val="20"/>
                <w:szCs w:val="20"/>
                <w:lang w:eastAsia="zh-CN" w:bidi="hi-IN"/>
              </w:rPr>
            </w:pPr>
            <w:proofErr w:type="spellStart"/>
            <w:r w:rsidRPr="009E2643">
              <w:rPr>
                <w:rFonts w:eastAsia="SimSun"/>
                <w:bCs/>
                <w:kern w:val="1"/>
                <w:sz w:val="20"/>
                <w:szCs w:val="20"/>
                <w:lang w:eastAsia="zh-CN" w:bidi="hi-IN"/>
              </w:rPr>
              <w:t>Ціна</w:t>
            </w:r>
            <w:proofErr w:type="spellEnd"/>
            <w:r w:rsidRPr="009E2643">
              <w:rPr>
                <w:rFonts w:eastAsia="SimSun"/>
                <w:bCs/>
                <w:kern w:val="1"/>
                <w:sz w:val="20"/>
                <w:szCs w:val="20"/>
                <w:lang w:eastAsia="zh-CN" w:bidi="hi-IN"/>
              </w:rPr>
              <w:t xml:space="preserve"> за </w:t>
            </w:r>
            <w:proofErr w:type="spellStart"/>
            <w:r w:rsidRPr="009E2643">
              <w:rPr>
                <w:rFonts w:eastAsia="SimSun"/>
                <w:bCs/>
                <w:kern w:val="1"/>
                <w:sz w:val="20"/>
                <w:szCs w:val="20"/>
                <w:lang w:eastAsia="zh-CN" w:bidi="hi-IN"/>
              </w:rPr>
              <w:t>одиницю</w:t>
            </w:r>
            <w:proofErr w:type="spellEnd"/>
            <w:r w:rsidRPr="009E2643">
              <w:rPr>
                <w:rFonts w:eastAsia="SimSun"/>
                <w:bCs/>
                <w:kern w:val="1"/>
                <w:sz w:val="20"/>
                <w:szCs w:val="20"/>
                <w:lang w:eastAsia="zh-CN" w:bidi="hi-IN"/>
              </w:rPr>
              <w:t xml:space="preserve"> товару (1 кВт год) </w:t>
            </w:r>
            <w:proofErr w:type="spellStart"/>
            <w:proofErr w:type="gramStart"/>
            <w:r w:rsidRPr="009E2643">
              <w:rPr>
                <w:rFonts w:eastAsia="SimSun"/>
                <w:bCs/>
                <w:kern w:val="1"/>
                <w:sz w:val="20"/>
                <w:szCs w:val="20"/>
                <w:lang w:eastAsia="zh-CN" w:bidi="hi-IN"/>
              </w:rPr>
              <w:t>складає</w:t>
            </w:r>
            <w:proofErr w:type="spellEnd"/>
            <w:r w:rsidRPr="009E2643">
              <w:rPr>
                <w:rFonts w:eastAsia="SimSun"/>
                <w:bCs/>
                <w:kern w:val="1"/>
                <w:sz w:val="20"/>
                <w:szCs w:val="20"/>
                <w:lang w:eastAsia="zh-CN" w:bidi="hi-IN"/>
              </w:rPr>
              <w:t xml:space="preserve">  </w:t>
            </w:r>
            <w:r w:rsidRPr="009E2643">
              <w:rPr>
                <w:rFonts w:eastAsia="SimSun"/>
                <w:bCs/>
                <w:kern w:val="1"/>
                <w:sz w:val="20"/>
                <w:szCs w:val="20"/>
                <w:lang w:val="uk-UA" w:eastAsia="zh-CN" w:bidi="hi-IN"/>
              </w:rPr>
              <w:t>4</w:t>
            </w:r>
            <w:proofErr w:type="gramEnd"/>
            <w:r w:rsidRPr="009E2643">
              <w:rPr>
                <w:rFonts w:eastAsia="SimSun"/>
                <w:bCs/>
                <w:kern w:val="1"/>
                <w:sz w:val="20"/>
                <w:szCs w:val="20"/>
                <w:lang w:val="uk-UA" w:eastAsia="zh-CN" w:bidi="hi-IN"/>
              </w:rPr>
              <w:t>,4</w:t>
            </w:r>
            <w:r w:rsidRPr="009E2643">
              <w:rPr>
                <w:rFonts w:eastAsia="SimSun"/>
                <w:bCs/>
                <w:kern w:val="1"/>
                <w:sz w:val="20"/>
                <w:szCs w:val="20"/>
                <w:lang w:eastAsia="zh-CN" w:bidi="hi-IN"/>
              </w:rPr>
              <w:t xml:space="preserve">  грн. з ПДВ, в тому </w:t>
            </w:r>
            <w:proofErr w:type="spellStart"/>
            <w:r w:rsidRPr="009E2643">
              <w:rPr>
                <w:rFonts w:eastAsia="SimSun"/>
                <w:bCs/>
                <w:kern w:val="1"/>
                <w:sz w:val="20"/>
                <w:szCs w:val="20"/>
                <w:lang w:eastAsia="zh-CN" w:bidi="hi-IN"/>
              </w:rPr>
              <w:t>числі</w:t>
            </w:r>
            <w:proofErr w:type="spellEnd"/>
            <w:r w:rsidRPr="009E2643">
              <w:rPr>
                <w:rFonts w:eastAsia="SimSun"/>
                <w:bCs/>
                <w:kern w:val="1"/>
                <w:sz w:val="20"/>
                <w:szCs w:val="20"/>
                <w:lang w:eastAsia="zh-CN" w:bidi="hi-IN"/>
              </w:rPr>
              <w:t xml:space="preserve"> РДН ОЕС </w:t>
            </w:r>
            <w:proofErr w:type="spellStart"/>
            <w:r w:rsidRPr="009E2643">
              <w:rPr>
                <w:rFonts w:eastAsia="SimSun"/>
                <w:bCs/>
                <w:kern w:val="1"/>
                <w:sz w:val="20"/>
                <w:szCs w:val="20"/>
                <w:lang w:eastAsia="zh-CN" w:bidi="hi-IN"/>
              </w:rPr>
              <w:t>України</w:t>
            </w:r>
            <w:proofErr w:type="spellEnd"/>
            <w:r w:rsidRPr="009E2643">
              <w:rPr>
                <w:rFonts w:eastAsia="SimSun"/>
                <w:bCs/>
                <w:kern w:val="1"/>
                <w:sz w:val="20"/>
                <w:szCs w:val="20"/>
                <w:lang w:eastAsia="zh-CN" w:bidi="hi-IN"/>
              </w:rPr>
              <w:t xml:space="preserve"> – на дату </w:t>
            </w:r>
            <w:proofErr w:type="spellStart"/>
            <w:r w:rsidRPr="009E2643">
              <w:rPr>
                <w:rFonts w:eastAsia="SimSun"/>
                <w:bCs/>
                <w:kern w:val="1"/>
                <w:sz w:val="20"/>
                <w:szCs w:val="20"/>
                <w:lang w:eastAsia="zh-CN" w:bidi="hi-IN"/>
              </w:rPr>
              <w:t>підписання</w:t>
            </w:r>
            <w:proofErr w:type="spellEnd"/>
            <w:r w:rsidRPr="009E2643">
              <w:rPr>
                <w:rFonts w:eastAsia="SimSun"/>
                <w:bCs/>
                <w:kern w:val="1"/>
                <w:sz w:val="20"/>
                <w:szCs w:val="20"/>
                <w:lang w:eastAsia="zh-CN" w:bidi="hi-IN"/>
              </w:rPr>
              <w:t xml:space="preserve"> Договору.</w:t>
            </w:r>
          </w:p>
          <w:p w:rsidR="00F24D33" w:rsidRPr="009E2643" w:rsidRDefault="00F24D33" w:rsidP="00F24D33">
            <w:pPr>
              <w:suppressAutoHyphens/>
              <w:jc w:val="both"/>
              <w:rPr>
                <w:rFonts w:eastAsia="SimSun"/>
                <w:bCs/>
                <w:kern w:val="1"/>
                <w:sz w:val="20"/>
                <w:szCs w:val="20"/>
                <w:lang w:eastAsia="zh-CN" w:bidi="hi-IN"/>
              </w:rPr>
            </w:pPr>
            <w:proofErr w:type="spellStart"/>
            <w:r w:rsidRPr="009E2643">
              <w:rPr>
                <w:rFonts w:eastAsia="SimSun"/>
                <w:bCs/>
                <w:kern w:val="1"/>
                <w:sz w:val="20"/>
                <w:szCs w:val="20"/>
                <w:lang w:eastAsia="zh-CN" w:bidi="hi-IN"/>
              </w:rPr>
              <w:t>Ціна</w:t>
            </w:r>
            <w:proofErr w:type="spellEnd"/>
            <w:r w:rsidRPr="009E2643">
              <w:rPr>
                <w:rFonts w:eastAsia="SimSun"/>
                <w:bCs/>
                <w:kern w:val="1"/>
                <w:sz w:val="20"/>
                <w:szCs w:val="20"/>
                <w:lang w:eastAsia="zh-CN" w:bidi="hi-IN"/>
              </w:rPr>
              <w:t xml:space="preserve"> за </w:t>
            </w:r>
            <w:proofErr w:type="spellStart"/>
            <w:r w:rsidRPr="009E2643">
              <w:rPr>
                <w:rFonts w:eastAsia="SimSun"/>
                <w:bCs/>
                <w:kern w:val="1"/>
                <w:sz w:val="20"/>
                <w:szCs w:val="20"/>
                <w:lang w:eastAsia="zh-CN" w:bidi="hi-IN"/>
              </w:rPr>
              <w:t>одиницю</w:t>
            </w:r>
            <w:proofErr w:type="spellEnd"/>
            <w:r w:rsidRPr="009E2643">
              <w:rPr>
                <w:rFonts w:eastAsia="SimSun"/>
                <w:bCs/>
                <w:kern w:val="1"/>
                <w:sz w:val="20"/>
                <w:szCs w:val="20"/>
                <w:lang w:eastAsia="zh-CN" w:bidi="hi-IN"/>
              </w:rPr>
              <w:t xml:space="preserve"> товару </w:t>
            </w:r>
            <w:proofErr w:type="spellStart"/>
            <w:r w:rsidRPr="009E2643">
              <w:rPr>
                <w:rFonts w:eastAsia="SimSun"/>
                <w:bCs/>
                <w:kern w:val="1"/>
                <w:sz w:val="20"/>
                <w:szCs w:val="20"/>
                <w:lang w:eastAsia="zh-CN" w:bidi="hi-IN"/>
              </w:rPr>
              <w:t>може</w:t>
            </w:r>
            <w:proofErr w:type="spellEnd"/>
            <w:r w:rsidRPr="009E2643">
              <w:rPr>
                <w:rFonts w:eastAsia="SimSun"/>
                <w:bCs/>
                <w:kern w:val="1"/>
                <w:sz w:val="20"/>
                <w:szCs w:val="20"/>
                <w:lang w:eastAsia="zh-CN" w:bidi="hi-IN"/>
              </w:rPr>
              <w:t xml:space="preserve"> </w:t>
            </w:r>
            <w:proofErr w:type="spellStart"/>
            <w:r w:rsidRPr="009E2643">
              <w:rPr>
                <w:rFonts w:eastAsia="SimSun"/>
                <w:bCs/>
                <w:kern w:val="1"/>
                <w:sz w:val="20"/>
                <w:szCs w:val="20"/>
                <w:lang w:eastAsia="zh-CN" w:bidi="hi-IN"/>
              </w:rPr>
              <w:t>змінюватись</w:t>
            </w:r>
            <w:proofErr w:type="spellEnd"/>
            <w:r w:rsidRPr="009E2643">
              <w:rPr>
                <w:rFonts w:eastAsia="SimSun"/>
                <w:bCs/>
                <w:kern w:val="1"/>
                <w:sz w:val="20"/>
                <w:szCs w:val="20"/>
                <w:lang w:eastAsia="zh-CN" w:bidi="hi-IN"/>
              </w:rPr>
              <w:t xml:space="preserve"> у </w:t>
            </w:r>
            <w:proofErr w:type="spellStart"/>
            <w:r w:rsidRPr="009E2643">
              <w:rPr>
                <w:rFonts w:eastAsia="SimSun"/>
                <w:bCs/>
                <w:kern w:val="1"/>
                <w:sz w:val="20"/>
                <w:szCs w:val="20"/>
                <w:lang w:eastAsia="zh-CN" w:bidi="hi-IN"/>
              </w:rPr>
              <w:t>зв’язку</w:t>
            </w:r>
            <w:proofErr w:type="spellEnd"/>
            <w:r w:rsidRPr="009E2643">
              <w:rPr>
                <w:rFonts w:eastAsia="SimSun"/>
                <w:bCs/>
                <w:kern w:val="1"/>
                <w:sz w:val="20"/>
                <w:szCs w:val="20"/>
                <w:lang w:eastAsia="zh-CN" w:bidi="hi-IN"/>
              </w:rPr>
              <w:t xml:space="preserve"> </w:t>
            </w:r>
            <w:proofErr w:type="spellStart"/>
            <w:r w:rsidRPr="009E2643">
              <w:rPr>
                <w:rFonts w:eastAsia="SimSun"/>
                <w:bCs/>
                <w:kern w:val="1"/>
                <w:sz w:val="20"/>
                <w:szCs w:val="20"/>
                <w:lang w:eastAsia="zh-CN" w:bidi="hi-IN"/>
              </w:rPr>
              <w:t>із</w:t>
            </w:r>
            <w:proofErr w:type="spellEnd"/>
            <w:r w:rsidRPr="009E2643">
              <w:rPr>
                <w:rFonts w:eastAsia="SimSun"/>
                <w:bCs/>
                <w:kern w:val="1"/>
                <w:sz w:val="20"/>
                <w:szCs w:val="20"/>
                <w:lang w:eastAsia="zh-CN" w:bidi="hi-IN"/>
              </w:rPr>
              <w:t xml:space="preserve"> </w:t>
            </w:r>
            <w:proofErr w:type="spellStart"/>
            <w:r w:rsidRPr="009E2643">
              <w:rPr>
                <w:rFonts w:eastAsia="SimSun"/>
                <w:bCs/>
                <w:kern w:val="1"/>
                <w:sz w:val="20"/>
                <w:szCs w:val="20"/>
                <w:lang w:eastAsia="zh-CN" w:bidi="hi-IN"/>
              </w:rPr>
              <w:t>змінами</w:t>
            </w:r>
            <w:proofErr w:type="spellEnd"/>
            <w:r w:rsidRPr="009E2643">
              <w:rPr>
                <w:rFonts w:eastAsia="SimSun"/>
                <w:bCs/>
                <w:kern w:val="1"/>
                <w:sz w:val="20"/>
                <w:szCs w:val="20"/>
                <w:lang w:eastAsia="zh-CN" w:bidi="hi-IN"/>
              </w:rPr>
              <w:t xml:space="preserve"> </w:t>
            </w:r>
            <w:proofErr w:type="spellStart"/>
            <w:r w:rsidRPr="009E2643">
              <w:rPr>
                <w:rFonts w:eastAsia="SimSun"/>
                <w:bCs/>
                <w:kern w:val="1"/>
                <w:sz w:val="20"/>
                <w:szCs w:val="20"/>
                <w:lang w:eastAsia="zh-CN" w:bidi="hi-IN"/>
              </w:rPr>
              <w:t>складових</w:t>
            </w:r>
            <w:proofErr w:type="spellEnd"/>
            <w:r w:rsidRPr="009E2643">
              <w:rPr>
                <w:rFonts w:eastAsia="SimSun"/>
                <w:bCs/>
                <w:kern w:val="1"/>
                <w:sz w:val="20"/>
                <w:szCs w:val="20"/>
                <w:lang w:eastAsia="zh-CN" w:bidi="hi-IN"/>
              </w:rPr>
              <w:t xml:space="preserve"> </w:t>
            </w:r>
            <w:proofErr w:type="spellStart"/>
            <w:r w:rsidRPr="009E2643">
              <w:rPr>
                <w:rFonts w:eastAsia="SimSun"/>
                <w:bCs/>
                <w:kern w:val="1"/>
                <w:sz w:val="20"/>
                <w:szCs w:val="20"/>
                <w:lang w:eastAsia="zh-CN" w:bidi="hi-IN"/>
              </w:rPr>
              <w:t>витрат</w:t>
            </w:r>
            <w:proofErr w:type="spellEnd"/>
            <w:r w:rsidRPr="009E2643">
              <w:rPr>
                <w:rFonts w:eastAsia="SimSun"/>
                <w:bCs/>
                <w:kern w:val="1"/>
                <w:sz w:val="20"/>
                <w:szCs w:val="20"/>
                <w:lang w:eastAsia="zh-CN" w:bidi="hi-IN"/>
              </w:rPr>
              <w:t xml:space="preserve">, </w:t>
            </w:r>
            <w:proofErr w:type="spellStart"/>
            <w:r w:rsidRPr="009E2643">
              <w:rPr>
                <w:rFonts w:eastAsia="SimSun"/>
                <w:bCs/>
                <w:kern w:val="1"/>
                <w:sz w:val="20"/>
                <w:szCs w:val="20"/>
                <w:lang w:eastAsia="zh-CN" w:bidi="hi-IN"/>
              </w:rPr>
              <w:t>які</w:t>
            </w:r>
            <w:proofErr w:type="spellEnd"/>
            <w:r w:rsidRPr="009E2643">
              <w:rPr>
                <w:rFonts w:eastAsia="SimSun"/>
                <w:bCs/>
                <w:kern w:val="1"/>
                <w:sz w:val="20"/>
                <w:szCs w:val="20"/>
                <w:lang w:eastAsia="zh-CN" w:bidi="hi-IN"/>
              </w:rPr>
              <w:t xml:space="preserve"> </w:t>
            </w:r>
            <w:proofErr w:type="spellStart"/>
            <w:r w:rsidRPr="009E2643">
              <w:rPr>
                <w:rFonts w:eastAsia="SimSun"/>
                <w:bCs/>
                <w:kern w:val="1"/>
                <w:sz w:val="20"/>
                <w:szCs w:val="20"/>
                <w:lang w:eastAsia="zh-CN" w:bidi="hi-IN"/>
              </w:rPr>
              <w:t>впливають</w:t>
            </w:r>
            <w:proofErr w:type="spellEnd"/>
            <w:r w:rsidRPr="009E2643">
              <w:rPr>
                <w:rFonts w:eastAsia="SimSun"/>
                <w:bCs/>
                <w:kern w:val="1"/>
                <w:sz w:val="20"/>
                <w:szCs w:val="20"/>
                <w:lang w:eastAsia="zh-CN" w:bidi="hi-IN"/>
              </w:rPr>
              <w:t xml:space="preserve"> на </w:t>
            </w:r>
            <w:proofErr w:type="spellStart"/>
            <w:r w:rsidRPr="009E2643">
              <w:rPr>
                <w:rFonts w:eastAsia="SimSun"/>
                <w:bCs/>
                <w:kern w:val="1"/>
                <w:sz w:val="20"/>
                <w:szCs w:val="20"/>
                <w:lang w:eastAsia="zh-CN" w:bidi="hi-IN"/>
              </w:rPr>
              <w:t>її</w:t>
            </w:r>
            <w:proofErr w:type="spellEnd"/>
            <w:r w:rsidRPr="009E2643">
              <w:rPr>
                <w:rFonts w:eastAsia="SimSun"/>
                <w:bCs/>
                <w:kern w:val="1"/>
                <w:sz w:val="20"/>
                <w:szCs w:val="20"/>
                <w:lang w:eastAsia="zh-CN" w:bidi="hi-IN"/>
              </w:rPr>
              <w:t xml:space="preserve"> </w:t>
            </w:r>
            <w:proofErr w:type="spellStart"/>
            <w:r w:rsidRPr="009E2643">
              <w:rPr>
                <w:rFonts w:eastAsia="SimSun"/>
                <w:bCs/>
                <w:kern w:val="1"/>
                <w:sz w:val="20"/>
                <w:szCs w:val="20"/>
                <w:lang w:eastAsia="zh-CN" w:bidi="hi-IN"/>
              </w:rPr>
              <w:t>формування</w:t>
            </w:r>
            <w:proofErr w:type="spellEnd"/>
            <w:r w:rsidRPr="009E2643">
              <w:rPr>
                <w:rFonts w:eastAsia="SimSun"/>
                <w:bCs/>
                <w:kern w:val="1"/>
                <w:sz w:val="20"/>
                <w:szCs w:val="20"/>
                <w:lang w:eastAsia="zh-CN" w:bidi="hi-IN"/>
              </w:rPr>
              <w:t xml:space="preserve">. </w:t>
            </w:r>
          </w:p>
          <w:p w:rsidR="00F24D33" w:rsidRPr="009E2643" w:rsidRDefault="00F24D33" w:rsidP="00F24D33">
            <w:pPr>
              <w:suppressAutoHyphens/>
              <w:jc w:val="both"/>
              <w:rPr>
                <w:rFonts w:eastAsia="SimSun"/>
                <w:bCs/>
                <w:kern w:val="1"/>
                <w:sz w:val="20"/>
                <w:szCs w:val="20"/>
                <w:lang w:eastAsia="zh-CN" w:bidi="hi-IN"/>
              </w:rPr>
            </w:pPr>
            <w:r w:rsidRPr="009E2643">
              <w:rPr>
                <w:rFonts w:eastAsia="SimSun"/>
                <w:bCs/>
                <w:kern w:val="1"/>
                <w:sz w:val="20"/>
                <w:szCs w:val="20"/>
                <w:lang w:eastAsia="zh-CN" w:bidi="hi-IN"/>
              </w:rPr>
              <w:t xml:space="preserve">У </w:t>
            </w:r>
            <w:proofErr w:type="spellStart"/>
            <w:r w:rsidRPr="009E2643">
              <w:rPr>
                <w:rFonts w:eastAsia="SimSun"/>
                <w:bCs/>
                <w:kern w:val="1"/>
                <w:sz w:val="20"/>
                <w:szCs w:val="20"/>
                <w:lang w:eastAsia="zh-CN" w:bidi="hi-IN"/>
              </w:rPr>
              <w:t>разі</w:t>
            </w:r>
            <w:proofErr w:type="spellEnd"/>
            <w:r w:rsidRPr="009E2643">
              <w:rPr>
                <w:rFonts w:eastAsia="SimSun"/>
                <w:bCs/>
                <w:kern w:val="1"/>
                <w:sz w:val="20"/>
                <w:szCs w:val="20"/>
                <w:lang w:eastAsia="zh-CN" w:bidi="hi-IN"/>
              </w:rPr>
              <w:t xml:space="preserve"> </w:t>
            </w:r>
            <w:proofErr w:type="spellStart"/>
            <w:r w:rsidRPr="009E2643">
              <w:rPr>
                <w:rFonts w:eastAsia="SimSun"/>
                <w:bCs/>
                <w:kern w:val="1"/>
                <w:sz w:val="20"/>
                <w:szCs w:val="20"/>
                <w:lang w:eastAsia="zh-CN" w:bidi="hi-IN"/>
              </w:rPr>
              <w:t>зміни</w:t>
            </w:r>
            <w:proofErr w:type="spellEnd"/>
            <w:r w:rsidRPr="009E2643">
              <w:rPr>
                <w:rFonts w:eastAsia="SimSun"/>
                <w:bCs/>
                <w:kern w:val="1"/>
                <w:sz w:val="20"/>
                <w:szCs w:val="20"/>
                <w:lang w:eastAsia="zh-CN" w:bidi="hi-IN"/>
              </w:rPr>
              <w:t xml:space="preserve"> </w:t>
            </w:r>
            <w:proofErr w:type="spellStart"/>
            <w:r w:rsidRPr="009E2643">
              <w:rPr>
                <w:rFonts w:eastAsia="SimSun"/>
                <w:bCs/>
                <w:kern w:val="1"/>
                <w:sz w:val="20"/>
                <w:szCs w:val="20"/>
                <w:lang w:eastAsia="zh-CN" w:bidi="hi-IN"/>
              </w:rPr>
              <w:t>ціни</w:t>
            </w:r>
            <w:proofErr w:type="spellEnd"/>
            <w:r w:rsidRPr="009E2643">
              <w:rPr>
                <w:rFonts w:eastAsia="SimSun"/>
                <w:bCs/>
                <w:kern w:val="1"/>
                <w:sz w:val="20"/>
                <w:szCs w:val="20"/>
                <w:lang w:eastAsia="zh-CN" w:bidi="hi-IN"/>
              </w:rPr>
              <w:t xml:space="preserve"> за </w:t>
            </w:r>
            <w:proofErr w:type="spellStart"/>
            <w:r w:rsidRPr="009E2643">
              <w:rPr>
                <w:rFonts w:eastAsia="SimSun"/>
                <w:bCs/>
                <w:kern w:val="1"/>
                <w:sz w:val="20"/>
                <w:szCs w:val="20"/>
                <w:lang w:eastAsia="zh-CN" w:bidi="hi-IN"/>
              </w:rPr>
              <w:t>одиницю</w:t>
            </w:r>
            <w:proofErr w:type="spellEnd"/>
            <w:r w:rsidRPr="009E2643">
              <w:rPr>
                <w:rFonts w:eastAsia="SimSun"/>
                <w:bCs/>
                <w:kern w:val="1"/>
                <w:sz w:val="20"/>
                <w:szCs w:val="20"/>
                <w:lang w:eastAsia="zh-CN" w:bidi="hi-IN"/>
              </w:rPr>
              <w:t xml:space="preserve"> товару </w:t>
            </w:r>
            <w:proofErr w:type="spellStart"/>
            <w:r w:rsidRPr="009E2643">
              <w:rPr>
                <w:rFonts w:eastAsia="SimSun"/>
                <w:bCs/>
                <w:kern w:val="1"/>
                <w:sz w:val="20"/>
                <w:szCs w:val="20"/>
                <w:lang w:eastAsia="zh-CN" w:bidi="hi-IN"/>
              </w:rPr>
              <w:t>Сторони</w:t>
            </w:r>
            <w:proofErr w:type="spellEnd"/>
            <w:r w:rsidRPr="009E2643">
              <w:rPr>
                <w:rFonts w:eastAsia="SimSun"/>
                <w:bCs/>
                <w:kern w:val="1"/>
                <w:sz w:val="20"/>
                <w:szCs w:val="20"/>
                <w:lang w:eastAsia="zh-CN" w:bidi="hi-IN"/>
              </w:rPr>
              <w:t xml:space="preserve"> </w:t>
            </w:r>
            <w:proofErr w:type="spellStart"/>
            <w:r w:rsidRPr="009E2643">
              <w:rPr>
                <w:rFonts w:eastAsia="SimSun"/>
                <w:bCs/>
                <w:kern w:val="1"/>
                <w:sz w:val="20"/>
                <w:szCs w:val="20"/>
                <w:lang w:eastAsia="zh-CN" w:bidi="hi-IN"/>
              </w:rPr>
              <w:t>здійснюють</w:t>
            </w:r>
            <w:proofErr w:type="spellEnd"/>
            <w:r w:rsidRPr="009E2643">
              <w:rPr>
                <w:rFonts w:eastAsia="SimSun"/>
                <w:bCs/>
                <w:kern w:val="1"/>
                <w:sz w:val="20"/>
                <w:szCs w:val="20"/>
                <w:lang w:eastAsia="zh-CN" w:bidi="hi-IN"/>
              </w:rPr>
              <w:t xml:space="preserve"> </w:t>
            </w:r>
            <w:proofErr w:type="spellStart"/>
            <w:r w:rsidRPr="009E2643">
              <w:rPr>
                <w:rFonts w:eastAsia="SimSun"/>
                <w:bCs/>
                <w:kern w:val="1"/>
                <w:sz w:val="20"/>
                <w:szCs w:val="20"/>
                <w:lang w:eastAsia="zh-CN" w:bidi="hi-IN"/>
              </w:rPr>
              <w:t>розрахунки</w:t>
            </w:r>
            <w:proofErr w:type="spellEnd"/>
            <w:r w:rsidRPr="009E2643">
              <w:rPr>
                <w:rFonts w:eastAsia="SimSun"/>
                <w:bCs/>
                <w:kern w:val="1"/>
                <w:sz w:val="20"/>
                <w:szCs w:val="20"/>
                <w:lang w:eastAsia="zh-CN" w:bidi="hi-IN"/>
              </w:rPr>
              <w:t xml:space="preserve"> за </w:t>
            </w:r>
            <w:proofErr w:type="spellStart"/>
            <w:r w:rsidRPr="009E2643">
              <w:rPr>
                <w:rFonts w:eastAsia="SimSun"/>
                <w:bCs/>
                <w:kern w:val="1"/>
                <w:sz w:val="20"/>
                <w:szCs w:val="20"/>
                <w:lang w:eastAsia="zh-CN" w:bidi="hi-IN"/>
              </w:rPr>
              <w:t>новими</w:t>
            </w:r>
            <w:proofErr w:type="spellEnd"/>
            <w:r w:rsidRPr="009E2643">
              <w:rPr>
                <w:rFonts w:eastAsia="SimSun"/>
                <w:bCs/>
                <w:kern w:val="1"/>
                <w:sz w:val="20"/>
                <w:szCs w:val="20"/>
                <w:lang w:eastAsia="zh-CN" w:bidi="hi-IN"/>
              </w:rPr>
              <w:t xml:space="preserve"> </w:t>
            </w:r>
            <w:proofErr w:type="spellStart"/>
            <w:r w:rsidRPr="009E2643">
              <w:rPr>
                <w:rFonts w:eastAsia="SimSun"/>
                <w:bCs/>
                <w:kern w:val="1"/>
                <w:sz w:val="20"/>
                <w:szCs w:val="20"/>
                <w:lang w:eastAsia="zh-CN" w:bidi="hi-IN"/>
              </w:rPr>
              <w:t>цінами</w:t>
            </w:r>
            <w:proofErr w:type="spellEnd"/>
            <w:r w:rsidRPr="009E2643">
              <w:rPr>
                <w:rFonts w:eastAsia="SimSun"/>
                <w:bCs/>
                <w:kern w:val="1"/>
                <w:sz w:val="20"/>
                <w:szCs w:val="20"/>
                <w:lang w:eastAsia="zh-CN" w:bidi="hi-IN"/>
              </w:rPr>
              <w:t xml:space="preserve"> з дня </w:t>
            </w:r>
            <w:proofErr w:type="spellStart"/>
            <w:r w:rsidRPr="009E2643">
              <w:rPr>
                <w:rFonts w:eastAsia="SimSun"/>
                <w:bCs/>
                <w:kern w:val="1"/>
                <w:sz w:val="20"/>
                <w:szCs w:val="20"/>
                <w:lang w:eastAsia="zh-CN" w:bidi="hi-IN"/>
              </w:rPr>
              <w:t>їх</w:t>
            </w:r>
            <w:proofErr w:type="spellEnd"/>
            <w:r w:rsidRPr="009E2643">
              <w:rPr>
                <w:rFonts w:eastAsia="SimSun"/>
                <w:bCs/>
                <w:kern w:val="1"/>
                <w:sz w:val="20"/>
                <w:szCs w:val="20"/>
                <w:lang w:eastAsia="zh-CN" w:bidi="hi-IN"/>
              </w:rPr>
              <w:t xml:space="preserve"> </w:t>
            </w:r>
            <w:proofErr w:type="spellStart"/>
            <w:r w:rsidRPr="009E2643">
              <w:rPr>
                <w:rFonts w:eastAsia="SimSun"/>
                <w:bCs/>
                <w:kern w:val="1"/>
                <w:sz w:val="20"/>
                <w:szCs w:val="20"/>
                <w:lang w:eastAsia="zh-CN" w:bidi="hi-IN"/>
              </w:rPr>
              <w:t>введення</w:t>
            </w:r>
            <w:proofErr w:type="spellEnd"/>
            <w:r w:rsidRPr="009E2643">
              <w:rPr>
                <w:rFonts w:eastAsia="SimSun"/>
                <w:bCs/>
                <w:kern w:val="1"/>
                <w:sz w:val="20"/>
                <w:szCs w:val="20"/>
                <w:lang w:eastAsia="zh-CN" w:bidi="hi-IN"/>
              </w:rPr>
              <w:t xml:space="preserve"> в </w:t>
            </w:r>
            <w:proofErr w:type="spellStart"/>
            <w:r w:rsidRPr="009E2643">
              <w:rPr>
                <w:rFonts w:eastAsia="SimSun"/>
                <w:bCs/>
                <w:kern w:val="1"/>
                <w:sz w:val="20"/>
                <w:szCs w:val="20"/>
                <w:lang w:eastAsia="zh-CN" w:bidi="hi-IN"/>
              </w:rPr>
              <w:t>дію</w:t>
            </w:r>
            <w:proofErr w:type="spellEnd"/>
            <w:r w:rsidRPr="009E2643">
              <w:rPr>
                <w:rFonts w:eastAsia="SimSun"/>
                <w:bCs/>
                <w:kern w:val="1"/>
                <w:sz w:val="20"/>
                <w:szCs w:val="20"/>
                <w:lang w:eastAsia="zh-CN" w:bidi="hi-IN"/>
              </w:rPr>
              <w:t>.</w:t>
            </w:r>
          </w:p>
          <w:p w:rsidR="00F24D33" w:rsidRPr="009E2643" w:rsidRDefault="00F24D33" w:rsidP="00F24D33">
            <w:pPr>
              <w:suppressAutoHyphens/>
              <w:jc w:val="both"/>
              <w:rPr>
                <w:rFonts w:eastAsia="SimSun"/>
                <w:bCs/>
                <w:kern w:val="1"/>
                <w:sz w:val="20"/>
                <w:szCs w:val="20"/>
                <w:lang w:eastAsia="zh-CN" w:bidi="hi-IN"/>
              </w:rPr>
            </w:pPr>
          </w:p>
        </w:tc>
      </w:tr>
    </w:tbl>
    <w:p w:rsidR="002E3400" w:rsidRPr="009E2643" w:rsidRDefault="002E3400" w:rsidP="002E3400">
      <w:pPr>
        <w:pStyle w:val="ae"/>
        <w:numPr>
          <w:ilvl w:val="0"/>
          <w:numId w:val="18"/>
        </w:numPr>
        <w:shd w:val="clear" w:color="auto" w:fill="BFBFBF"/>
        <w:suppressAutoHyphens/>
        <w:spacing w:before="120"/>
        <w:ind w:left="567" w:hanging="567"/>
        <w:jc w:val="both"/>
        <w:rPr>
          <w:rFonts w:eastAsia="SimSun"/>
          <w:kern w:val="1"/>
          <w:sz w:val="20"/>
          <w:szCs w:val="20"/>
          <w:lang w:val="uk-UA" w:eastAsia="zh-CN" w:bidi="hi-IN"/>
        </w:rPr>
      </w:pPr>
      <w:r w:rsidRPr="009E2643">
        <w:rPr>
          <w:rFonts w:eastAsia="SimSun"/>
          <w:b/>
          <w:kern w:val="1"/>
          <w:sz w:val="20"/>
          <w:szCs w:val="20"/>
          <w:lang w:val="uk-UA" w:eastAsia="uk-UA" w:bidi="hi-IN"/>
        </w:rPr>
        <w:t>Спосіб та строки (терміни) оплати. Виставлення рахунків</w:t>
      </w:r>
    </w:p>
    <w:p w:rsidR="002E3400" w:rsidRPr="009E2643" w:rsidRDefault="002E3400" w:rsidP="002E3400">
      <w:pPr>
        <w:suppressAutoHyphens/>
        <w:jc w:val="both"/>
        <w:rPr>
          <w:rFonts w:eastAsia="SimSun"/>
          <w:bCs/>
          <w:kern w:val="1"/>
          <w:sz w:val="20"/>
          <w:szCs w:val="20"/>
          <w:lang w:val="uk-UA" w:eastAsia="zh-CN" w:bidi="hi-IN"/>
        </w:rPr>
      </w:pPr>
      <w:r w:rsidRPr="009E2643">
        <w:rPr>
          <w:rFonts w:eastAsia="SimSun"/>
          <w:bCs/>
          <w:kern w:val="1"/>
          <w:sz w:val="20"/>
          <w:szCs w:val="20"/>
          <w:lang w:val="uk-UA" w:eastAsia="zh-CN" w:bidi="hi-IN"/>
        </w:rPr>
        <w:t>Оплата електричної енергії здійснюється шляхом банківського переказу на поточний рахунок Постачальника зі спеціальним режимом використання на підставі виставленого рахунку у наступні строки (терміни):</w:t>
      </w:r>
    </w:p>
    <w:p w:rsidR="00AE39B0" w:rsidRPr="009E2643" w:rsidRDefault="00AE39B0" w:rsidP="00AE39B0">
      <w:pPr>
        <w:pStyle w:val="ae"/>
        <w:numPr>
          <w:ilvl w:val="0"/>
          <w:numId w:val="22"/>
        </w:numPr>
        <w:rPr>
          <w:kern w:val="1"/>
          <w:sz w:val="20"/>
          <w:szCs w:val="20"/>
          <w:lang w:val="uk-UA" w:bidi="hi-IN"/>
        </w:rPr>
      </w:pPr>
      <w:r w:rsidRPr="009E2643">
        <w:rPr>
          <w:rFonts w:eastAsia="SimSun"/>
          <w:bCs/>
          <w:kern w:val="2"/>
          <w:sz w:val="20"/>
          <w:szCs w:val="20"/>
          <w:lang w:val="uk-UA" w:eastAsia="zh-CN" w:bidi="hi-IN"/>
        </w:rPr>
        <w:t xml:space="preserve">Фактичний розрахунок – протягом 5 (п’яти) банківських днів з дати отримання рахунку, але, в будь-якому випадку ,не пізніше 15 числа місяця, наступного за розрахунковим періодом. </w:t>
      </w:r>
      <w:r w:rsidRPr="009E2643">
        <w:rPr>
          <w:rFonts w:eastAsia="SimSun"/>
          <w:bCs/>
          <w:kern w:val="1"/>
          <w:sz w:val="20"/>
          <w:szCs w:val="20"/>
          <w:lang w:val="uk-UA" w:eastAsia="zh-CN" w:bidi="hi-IN"/>
        </w:rPr>
        <w:t xml:space="preserve">Рахунки на остаточний розрахунок виставляються не пізніше </w:t>
      </w:r>
      <w:r w:rsidRPr="009E2643">
        <w:rPr>
          <w:sz w:val="20"/>
          <w:szCs w:val="20"/>
          <w:lang w:val="uk-UA" w:eastAsia="uk-UA"/>
        </w:rPr>
        <w:t>10 числа місяця, наступного за розрахунковим періодом.</w:t>
      </w:r>
    </w:p>
    <w:p w:rsidR="002E3400" w:rsidRPr="009E2643" w:rsidRDefault="002E3400" w:rsidP="00AE39B0">
      <w:pPr>
        <w:suppressAutoHyphens/>
        <w:jc w:val="both"/>
        <w:rPr>
          <w:rFonts w:eastAsia="SimSun"/>
          <w:bCs/>
          <w:kern w:val="1"/>
          <w:sz w:val="20"/>
          <w:szCs w:val="20"/>
          <w:lang w:val="uk-UA" w:eastAsia="zh-CN" w:bidi="hi-IN"/>
        </w:rPr>
      </w:pPr>
      <w:r w:rsidRPr="009E2643">
        <w:rPr>
          <w:rFonts w:eastAsia="SimSun"/>
          <w:bCs/>
          <w:kern w:val="1"/>
          <w:sz w:val="20"/>
          <w:szCs w:val="20"/>
          <w:lang w:val="uk-UA" w:eastAsia="zh-CN" w:bidi="hi-IN"/>
        </w:rPr>
        <w:t xml:space="preserve"> Постачальник надає рахунок </w:t>
      </w:r>
      <w:r w:rsidR="004D0459" w:rsidRPr="009E2643">
        <w:rPr>
          <w:rFonts w:eastAsia="SimSun"/>
          <w:bCs/>
          <w:kern w:val="1"/>
          <w:sz w:val="20"/>
          <w:szCs w:val="20"/>
          <w:lang w:val="uk-UA" w:eastAsia="zh-CN" w:bidi="hi-IN"/>
        </w:rPr>
        <w:t xml:space="preserve">та акт Споживачу </w:t>
      </w:r>
      <w:r w:rsidRPr="009E2643">
        <w:rPr>
          <w:rFonts w:eastAsia="SimSun"/>
          <w:bCs/>
          <w:kern w:val="1"/>
          <w:sz w:val="20"/>
          <w:szCs w:val="20"/>
          <w:lang w:val="uk-UA" w:eastAsia="zh-CN" w:bidi="hi-IN"/>
        </w:rPr>
        <w:t xml:space="preserve">в сканованому вигляді на електронну адресу або </w:t>
      </w:r>
      <w:r w:rsidR="004D0459" w:rsidRPr="009E2643">
        <w:rPr>
          <w:rFonts w:eastAsia="SimSun"/>
          <w:bCs/>
          <w:kern w:val="1"/>
          <w:sz w:val="20"/>
          <w:szCs w:val="20"/>
          <w:lang w:val="uk-UA" w:eastAsia="zh-CN" w:bidi="hi-IN"/>
        </w:rPr>
        <w:t xml:space="preserve">надсилає їх </w:t>
      </w:r>
      <w:r w:rsidR="005D0CAD" w:rsidRPr="009E2643">
        <w:rPr>
          <w:rFonts w:eastAsia="SimSun"/>
          <w:bCs/>
          <w:kern w:val="1"/>
          <w:sz w:val="20"/>
          <w:szCs w:val="20"/>
          <w:lang w:val="uk-UA" w:eastAsia="zh-CN" w:bidi="hi-IN"/>
        </w:rPr>
        <w:t xml:space="preserve">у </w:t>
      </w:r>
      <w:r w:rsidRPr="009E2643">
        <w:rPr>
          <w:rFonts w:eastAsia="SimSun"/>
          <w:bCs/>
          <w:kern w:val="1"/>
          <w:sz w:val="20"/>
          <w:szCs w:val="20"/>
          <w:lang w:val="uk-UA" w:eastAsia="zh-CN" w:bidi="hi-IN"/>
        </w:rPr>
        <w:t xml:space="preserve">паперовій формі </w:t>
      </w:r>
      <w:r w:rsidR="004D0459" w:rsidRPr="009E2643">
        <w:rPr>
          <w:rFonts w:eastAsia="SimSun"/>
          <w:bCs/>
          <w:kern w:val="1"/>
          <w:sz w:val="20"/>
          <w:szCs w:val="20"/>
          <w:lang w:val="uk-UA" w:eastAsia="zh-CN" w:bidi="hi-IN"/>
        </w:rPr>
        <w:t>на поштову адресу.</w:t>
      </w:r>
    </w:p>
    <w:p w:rsidR="002E3400" w:rsidRPr="009E2643" w:rsidRDefault="000C556E" w:rsidP="002E3400">
      <w:pPr>
        <w:pStyle w:val="ae"/>
        <w:numPr>
          <w:ilvl w:val="0"/>
          <w:numId w:val="18"/>
        </w:numPr>
        <w:shd w:val="clear" w:color="auto" w:fill="BFBFBF"/>
        <w:suppressAutoHyphens/>
        <w:spacing w:before="120"/>
        <w:ind w:left="567" w:hanging="567"/>
        <w:jc w:val="both"/>
        <w:rPr>
          <w:rFonts w:eastAsia="SimSun"/>
          <w:kern w:val="1"/>
          <w:sz w:val="20"/>
          <w:szCs w:val="20"/>
          <w:lang w:val="uk-UA" w:eastAsia="zh-CN" w:bidi="hi-IN"/>
        </w:rPr>
      </w:pPr>
      <w:r w:rsidRPr="009E2643">
        <w:rPr>
          <w:rFonts w:eastAsia="SimSun"/>
          <w:b/>
          <w:kern w:val="1"/>
          <w:sz w:val="20"/>
          <w:szCs w:val="20"/>
          <w:lang w:val="uk-UA" w:eastAsia="uk-UA" w:bidi="hi-IN"/>
        </w:rPr>
        <w:t>Оплата послуг з розподілу електричної енергії</w:t>
      </w:r>
    </w:p>
    <w:p w:rsidR="005D0CAD" w:rsidRPr="009E2643" w:rsidRDefault="00945DC3" w:rsidP="00020F8B">
      <w:pPr>
        <w:spacing w:after="60"/>
        <w:jc w:val="both"/>
        <w:rPr>
          <w:kern w:val="1"/>
          <w:sz w:val="20"/>
          <w:szCs w:val="20"/>
          <w:lang w:val="uk-UA" w:bidi="hi-IN"/>
        </w:rPr>
      </w:pPr>
      <w:r w:rsidRPr="009E2643">
        <w:rPr>
          <w:kern w:val="1"/>
          <w:sz w:val="20"/>
          <w:szCs w:val="20"/>
          <w:lang w:val="uk-UA" w:bidi="hi-IN"/>
        </w:rPr>
        <w:t xml:space="preserve">Оплата послуг з розподілу (передачі) електричної енергії здійснюється </w:t>
      </w:r>
      <w:r w:rsidR="005D0CAD" w:rsidRPr="009E2643">
        <w:rPr>
          <w:kern w:val="1"/>
          <w:sz w:val="20"/>
          <w:szCs w:val="20"/>
          <w:lang w:val="uk-UA" w:bidi="hi-IN"/>
        </w:rPr>
        <w:t>Споживачем напряму ОСР.</w:t>
      </w:r>
    </w:p>
    <w:p w:rsidR="002E3400" w:rsidRPr="009E2643" w:rsidRDefault="00945DC3" w:rsidP="002E3400">
      <w:pPr>
        <w:pStyle w:val="ae"/>
        <w:numPr>
          <w:ilvl w:val="0"/>
          <w:numId w:val="18"/>
        </w:numPr>
        <w:shd w:val="clear" w:color="auto" w:fill="BFBFBF"/>
        <w:suppressAutoHyphens/>
        <w:spacing w:before="120"/>
        <w:ind w:left="567" w:hanging="567"/>
        <w:jc w:val="both"/>
        <w:rPr>
          <w:rFonts w:eastAsia="SimSun"/>
          <w:kern w:val="1"/>
          <w:sz w:val="20"/>
          <w:szCs w:val="20"/>
          <w:lang w:val="uk-UA" w:eastAsia="zh-CN" w:bidi="hi-IN"/>
        </w:rPr>
      </w:pPr>
      <w:r w:rsidRPr="009E2643">
        <w:rPr>
          <w:rFonts w:eastAsia="SimSun"/>
          <w:b/>
          <w:kern w:val="1"/>
          <w:sz w:val="20"/>
          <w:szCs w:val="20"/>
          <w:lang w:val="uk-UA" w:eastAsia="uk-UA" w:bidi="hi-IN"/>
        </w:rPr>
        <w:t>Відповідальність за порушення строків (термінів) оплати. Пеня, відключення</w:t>
      </w:r>
    </w:p>
    <w:p w:rsidR="00945DC3" w:rsidRPr="009E2643" w:rsidRDefault="00945DC3" w:rsidP="00945DC3">
      <w:pPr>
        <w:widowControl w:val="0"/>
        <w:tabs>
          <w:tab w:val="left" w:pos="0"/>
          <w:tab w:val="left" w:pos="709"/>
        </w:tabs>
        <w:jc w:val="both"/>
        <w:rPr>
          <w:sz w:val="20"/>
          <w:szCs w:val="20"/>
          <w:lang w:val="uk-UA" w:eastAsia="uk-UA"/>
        </w:rPr>
      </w:pPr>
      <w:r w:rsidRPr="009E2643">
        <w:rPr>
          <w:sz w:val="20"/>
          <w:szCs w:val="20"/>
          <w:lang w:val="uk-UA" w:eastAsia="uk-UA"/>
        </w:rPr>
        <w:t>У випадку порушення строків (термінів) оплати, визначених розділом «</w:t>
      </w:r>
      <w:r w:rsidRPr="009E2643">
        <w:rPr>
          <w:i/>
          <w:sz w:val="20"/>
          <w:szCs w:val="20"/>
          <w:lang w:val="uk-UA" w:eastAsia="uk-UA"/>
        </w:rPr>
        <w:t>Спосіб та строки (терміни) оплати…</w:t>
      </w:r>
      <w:r w:rsidRPr="009E2643">
        <w:rPr>
          <w:sz w:val="20"/>
          <w:szCs w:val="20"/>
          <w:lang w:val="uk-UA" w:eastAsia="uk-UA"/>
        </w:rPr>
        <w:t>», Споживач додатково сплачує Постачальнику пеню у розмірі подвійної облікової ставки НБУ від суми заборгованості за кожний день прострочення, враховуючи день фактичної оплати, а також заборгованість з урахуванням індексу інфляції та 3% річних. Пеня, інфляційне нарахування та 3% річних сплачуються на поточний рахунок Постачальника.</w:t>
      </w:r>
    </w:p>
    <w:p w:rsidR="003543AF" w:rsidRPr="009E2643" w:rsidRDefault="00945DC3" w:rsidP="00C50856">
      <w:pPr>
        <w:spacing w:before="60" w:after="60"/>
        <w:jc w:val="both"/>
        <w:rPr>
          <w:sz w:val="20"/>
          <w:szCs w:val="20"/>
          <w:lang w:val="uk-UA"/>
        </w:rPr>
      </w:pPr>
      <w:r w:rsidRPr="009E2643">
        <w:rPr>
          <w:rFonts w:eastAsia="SimSun"/>
          <w:kern w:val="1"/>
          <w:sz w:val="20"/>
          <w:szCs w:val="20"/>
          <w:lang w:val="uk-UA" w:eastAsia="zh-CN" w:bidi="hi-IN"/>
        </w:rPr>
        <w:t>Незалежно від нарахування пені (інфляційного нарахування, 3% річних), Постачальник при наявності заборгованості Споживача має право припинити постачання йому електричної енергії (відключити електроустановку Споживача) за умови попередження Споживача не пізніше, ніж за 10 робочих днів до дати відключення.</w:t>
      </w:r>
    </w:p>
    <w:p w:rsidR="00945DC3" w:rsidRPr="009E2643" w:rsidRDefault="00945DC3" w:rsidP="00945DC3">
      <w:pPr>
        <w:pStyle w:val="ae"/>
        <w:numPr>
          <w:ilvl w:val="0"/>
          <w:numId w:val="18"/>
        </w:numPr>
        <w:shd w:val="clear" w:color="auto" w:fill="BFBFBF"/>
        <w:suppressAutoHyphens/>
        <w:spacing w:before="120"/>
        <w:ind w:left="567" w:hanging="567"/>
        <w:jc w:val="both"/>
        <w:rPr>
          <w:rFonts w:eastAsia="SimSun"/>
          <w:kern w:val="1"/>
          <w:sz w:val="20"/>
          <w:szCs w:val="20"/>
          <w:lang w:val="uk-UA" w:eastAsia="zh-CN" w:bidi="hi-IN"/>
        </w:rPr>
      </w:pPr>
      <w:r w:rsidRPr="009E2643">
        <w:rPr>
          <w:rFonts w:eastAsia="SimSun"/>
          <w:b/>
          <w:kern w:val="1"/>
          <w:sz w:val="20"/>
          <w:szCs w:val="20"/>
          <w:lang w:val="uk-UA" w:eastAsia="uk-UA" w:bidi="hi-IN"/>
        </w:rPr>
        <w:t>Штраф за дострокове припинення дії Договору</w:t>
      </w:r>
    </w:p>
    <w:p w:rsidR="00945DC3" w:rsidRPr="009E2643" w:rsidRDefault="00945DC3" w:rsidP="00945DC3">
      <w:pPr>
        <w:spacing w:after="60"/>
        <w:jc w:val="both"/>
        <w:rPr>
          <w:sz w:val="20"/>
          <w:szCs w:val="20"/>
          <w:lang w:val="uk-UA"/>
        </w:rPr>
      </w:pPr>
      <w:r w:rsidRPr="009E2643">
        <w:rPr>
          <w:sz w:val="20"/>
          <w:szCs w:val="20"/>
          <w:lang w:val="uk-UA" w:eastAsia="uk-UA"/>
        </w:rPr>
        <w:t>До Споживача згідно цієї комерційної пропозиції не застосовується штраф за дострокове припинення дії Договору.</w:t>
      </w:r>
    </w:p>
    <w:p w:rsidR="00945DC3" w:rsidRPr="009E2643" w:rsidRDefault="00945DC3" w:rsidP="00945DC3">
      <w:pPr>
        <w:pStyle w:val="ae"/>
        <w:numPr>
          <w:ilvl w:val="0"/>
          <w:numId w:val="18"/>
        </w:numPr>
        <w:shd w:val="clear" w:color="auto" w:fill="BFBFBF"/>
        <w:suppressAutoHyphens/>
        <w:spacing w:before="120"/>
        <w:ind w:left="567" w:hanging="567"/>
        <w:jc w:val="both"/>
        <w:rPr>
          <w:rFonts w:eastAsia="SimSun"/>
          <w:kern w:val="1"/>
          <w:sz w:val="20"/>
          <w:szCs w:val="20"/>
          <w:lang w:val="uk-UA" w:eastAsia="zh-CN" w:bidi="hi-IN"/>
        </w:rPr>
      </w:pPr>
      <w:r w:rsidRPr="009E2643">
        <w:rPr>
          <w:rFonts w:eastAsia="SimSun"/>
          <w:b/>
          <w:kern w:val="1"/>
          <w:sz w:val="20"/>
          <w:szCs w:val="20"/>
          <w:lang w:val="uk-UA" w:eastAsia="uk-UA" w:bidi="hi-IN"/>
        </w:rPr>
        <w:t>Постачання захищеним споживачам. Надання пільг, субсидій</w:t>
      </w:r>
    </w:p>
    <w:p w:rsidR="00945DC3" w:rsidRPr="009E2643" w:rsidRDefault="00945DC3" w:rsidP="00945DC3">
      <w:pPr>
        <w:spacing w:after="60"/>
        <w:jc w:val="both"/>
        <w:rPr>
          <w:sz w:val="20"/>
          <w:szCs w:val="20"/>
          <w:lang w:val="uk-UA"/>
        </w:rPr>
      </w:pPr>
      <w:r w:rsidRPr="009E2643">
        <w:rPr>
          <w:sz w:val="20"/>
          <w:szCs w:val="20"/>
          <w:lang w:val="uk-UA" w:eastAsia="uk-UA"/>
        </w:rPr>
        <w:t>За цією комерційною пропозицією не передбачається постачання електричної енергії захищеним споживачам, надання будь-яких пільг або субсидій.</w:t>
      </w:r>
    </w:p>
    <w:p w:rsidR="00945DC3" w:rsidRPr="009E2643" w:rsidRDefault="00945DC3" w:rsidP="00945DC3">
      <w:pPr>
        <w:pStyle w:val="ae"/>
        <w:numPr>
          <w:ilvl w:val="0"/>
          <w:numId w:val="18"/>
        </w:numPr>
        <w:shd w:val="clear" w:color="auto" w:fill="BFBFBF"/>
        <w:suppressAutoHyphens/>
        <w:spacing w:before="120"/>
        <w:ind w:left="567" w:hanging="567"/>
        <w:jc w:val="both"/>
        <w:rPr>
          <w:rFonts w:eastAsia="SimSun"/>
          <w:kern w:val="1"/>
          <w:sz w:val="20"/>
          <w:szCs w:val="20"/>
          <w:lang w:val="uk-UA" w:eastAsia="zh-CN" w:bidi="hi-IN"/>
        </w:rPr>
      </w:pPr>
      <w:r w:rsidRPr="009E2643">
        <w:rPr>
          <w:rFonts w:eastAsia="SimSun"/>
          <w:b/>
          <w:kern w:val="1"/>
          <w:sz w:val="20"/>
          <w:szCs w:val="20"/>
          <w:lang w:val="uk-UA" w:eastAsia="uk-UA" w:bidi="hi-IN"/>
        </w:rPr>
        <w:t>Компенсація за недотримання Постачальником комерційної якості послуг</w:t>
      </w:r>
    </w:p>
    <w:p w:rsidR="00945DC3" w:rsidRPr="009E2643" w:rsidRDefault="00945DC3" w:rsidP="00945DC3">
      <w:pPr>
        <w:spacing w:after="60"/>
        <w:jc w:val="both"/>
        <w:rPr>
          <w:sz w:val="20"/>
          <w:szCs w:val="20"/>
          <w:lang w:val="uk-UA"/>
        </w:rPr>
      </w:pPr>
      <w:r w:rsidRPr="009E2643">
        <w:rPr>
          <w:rFonts w:eastAsia="SimSun"/>
          <w:kern w:val="1"/>
          <w:sz w:val="20"/>
          <w:szCs w:val="20"/>
          <w:lang w:val="uk-UA" w:eastAsia="uk-UA" w:bidi="hi-IN"/>
        </w:rPr>
        <w:lastRenderedPageBreak/>
        <w:t>Компенсація за недотримання Постачальником комерційної якості надання послуг надається Споживачу в порядку та розмірі, визначеними НКРЕКП.</w:t>
      </w:r>
    </w:p>
    <w:p w:rsidR="00945DC3" w:rsidRPr="009E2643" w:rsidRDefault="00945DC3" w:rsidP="00945DC3">
      <w:pPr>
        <w:pStyle w:val="ae"/>
        <w:numPr>
          <w:ilvl w:val="0"/>
          <w:numId w:val="18"/>
        </w:numPr>
        <w:shd w:val="clear" w:color="auto" w:fill="BFBFBF"/>
        <w:suppressAutoHyphens/>
        <w:spacing w:before="120"/>
        <w:ind w:left="567" w:hanging="567"/>
        <w:jc w:val="both"/>
        <w:rPr>
          <w:rFonts w:eastAsia="SimSun"/>
          <w:kern w:val="1"/>
          <w:sz w:val="20"/>
          <w:szCs w:val="20"/>
          <w:lang w:val="uk-UA" w:eastAsia="zh-CN" w:bidi="hi-IN"/>
        </w:rPr>
      </w:pPr>
      <w:r w:rsidRPr="009E2643">
        <w:rPr>
          <w:rFonts w:eastAsia="SimSun"/>
          <w:b/>
          <w:kern w:val="1"/>
          <w:sz w:val="20"/>
          <w:szCs w:val="20"/>
          <w:lang w:val="uk-UA" w:eastAsia="uk-UA" w:bidi="hi-IN"/>
        </w:rPr>
        <w:t>Термін дії комерційної пропозиції та Договору</w:t>
      </w:r>
    </w:p>
    <w:p w:rsidR="00945DC3" w:rsidRPr="009E2643" w:rsidRDefault="00945DC3" w:rsidP="00945DC3">
      <w:pPr>
        <w:spacing w:after="60"/>
        <w:jc w:val="both"/>
        <w:rPr>
          <w:sz w:val="20"/>
          <w:szCs w:val="20"/>
          <w:lang w:val="uk-UA"/>
        </w:rPr>
      </w:pPr>
      <w:r w:rsidRPr="009E2643">
        <w:rPr>
          <w:rFonts w:eastAsia="SimSun"/>
          <w:bCs/>
          <w:kern w:val="1"/>
          <w:sz w:val="20"/>
          <w:szCs w:val="20"/>
          <w:lang w:val="uk-UA" w:eastAsia="uk-UA" w:bidi="hi-IN"/>
        </w:rPr>
        <w:t>Ця комерційна пропозиція діє з «</w:t>
      </w:r>
      <w:r w:rsidR="004D0459" w:rsidRPr="009E2643">
        <w:rPr>
          <w:rFonts w:eastAsia="SimSun"/>
          <w:bCs/>
          <w:kern w:val="1"/>
          <w:sz w:val="20"/>
          <w:szCs w:val="20"/>
          <w:lang w:val="uk-UA" w:eastAsia="uk-UA" w:bidi="hi-IN"/>
        </w:rPr>
        <w:t>01</w:t>
      </w:r>
      <w:r w:rsidRPr="009E2643">
        <w:rPr>
          <w:rFonts w:eastAsia="SimSun"/>
          <w:bCs/>
          <w:kern w:val="1"/>
          <w:sz w:val="20"/>
          <w:szCs w:val="20"/>
          <w:lang w:val="uk-UA" w:eastAsia="uk-UA" w:bidi="hi-IN"/>
        </w:rPr>
        <w:t xml:space="preserve">» </w:t>
      </w:r>
      <w:r w:rsidR="004D0459" w:rsidRPr="009E2643">
        <w:rPr>
          <w:rFonts w:eastAsia="SimSun"/>
          <w:bCs/>
          <w:kern w:val="1"/>
          <w:sz w:val="20"/>
          <w:szCs w:val="20"/>
          <w:lang w:val="uk-UA" w:eastAsia="uk-UA" w:bidi="hi-IN"/>
        </w:rPr>
        <w:t>січня</w:t>
      </w:r>
      <w:r w:rsidRPr="009E2643">
        <w:rPr>
          <w:rFonts w:eastAsia="SimSun"/>
          <w:bCs/>
          <w:kern w:val="1"/>
          <w:sz w:val="20"/>
          <w:szCs w:val="20"/>
          <w:lang w:val="uk-UA" w:eastAsia="uk-UA" w:bidi="hi-IN"/>
        </w:rPr>
        <w:t xml:space="preserve"> 20</w:t>
      </w:r>
      <w:r w:rsidR="004D0459" w:rsidRPr="009E2643">
        <w:rPr>
          <w:rFonts w:eastAsia="SimSun"/>
          <w:bCs/>
          <w:kern w:val="1"/>
          <w:sz w:val="20"/>
          <w:szCs w:val="20"/>
          <w:lang w:val="uk-UA" w:eastAsia="uk-UA" w:bidi="hi-IN"/>
        </w:rPr>
        <w:t>22</w:t>
      </w:r>
      <w:r w:rsidRPr="009E2643">
        <w:rPr>
          <w:rFonts w:eastAsia="SimSun"/>
          <w:bCs/>
          <w:kern w:val="1"/>
          <w:sz w:val="20"/>
          <w:szCs w:val="20"/>
          <w:lang w:val="uk-UA" w:eastAsia="uk-UA" w:bidi="hi-IN"/>
        </w:rPr>
        <w:t xml:space="preserve"> року до </w:t>
      </w:r>
      <w:r w:rsidR="004D0459" w:rsidRPr="009E2643">
        <w:rPr>
          <w:rFonts w:eastAsia="SimSun"/>
          <w:bCs/>
          <w:kern w:val="1"/>
          <w:sz w:val="20"/>
          <w:szCs w:val="20"/>
          <w:lang w:val="uk-UA" w:eastAsia="uk-UA" w:bidi="hi-IN"/>
        </w:rPr>
        <w:t>31 грудня 2022</w:t>
      </w:r>
      <w:r w:rsidRPr="009E2643">
        <w:rPr>
          <w:rFonts w:eastAsia="SimSun"/>
          <w:bCs/>
          <w:kern w:val="1"/>
          <w:sz w:val="20"/>
          <w:szCs w:val="20"/>
          <w:lang w:val="uk-UA" w:eastAsia="uk-UA" w:bidi="hi-IN"/>
        </w:rPr>
        <w:t xml:space="preserve"> року включно. Автоматична пролонгація цієї комерційної пропозиції не передбачається. До закінчення терміну дії цієї комерційної пропозиції Споживач повинен обрати нову комерційну пропозицію з таким розрахунком, щоб вона вступила в дію на наступний день після закінчення терміну дії цієї комерційної пропозиції. Якщо Споживач не об</w:t>
      </w:r>
      <w:r w:rsidR="00140CE8" w:rsidRPr="009E2643">
        <w:rPr>
          <w:rFonts w:eastAsia="SimSun"/>
          <w:bCs/>
          <w:kern w:val="1"/>
          <w:sz w:val="20"/>
          <w:szCs w:val="20"/>
          <w:lang w:val="uk-UA" w:eastAsia="uk-UA" w:bidi="hi-IN"/>
        </w:rPr>
        <w:t>е</w:t>
      </w:r>
      <w:r w:rsidRPr="009E2643">
        <w:rPr>
          <w:rFonts w:eastAsia="SimSun"/>
          <w:bCs/>
          <w:kern w:val="1"/>
          <w:sz w:val="20"/>
          <w:szCs w:val="20"/>
          <w:lang w:val="uk-UA" w:eastAsia="uk-UA" w:bidi="hi-IN"/>
        </w:rPr>
        <w:t>ре нову комерційну пропозицію відповідно до вказаних умов, Договір припиняє свою дію на наступний день після закінчення терміну дії цієї комерційної пропозиції.</w:t>
      </w:r>
    </w:p>
    <w:p w:rsidR="00945DC3" w:rsidRPr="009E2643" w:rsidRDefault="00945DC3" w:rsidP="00945DC3">
      <w:pPr>
        <w:pStyle w:val="ae"/>
        <w:numPr>
          <w:ilvl w:val="0"/>
          <w:numId w:val="18"/>
        </w:numPr>
        <w:shd w:val="clear" w:color="auto" w:fill="BFBFBF"/>
        <w:suppressAutoHyphens/>
        <w:spacing w:before="120"/>
        <w:ind w:left="567" w:hanging="567"/>
        <w:jc w:val="both"/>
        <w:rPr>
          <w:rFonts w:eastAsia="SimSun"/>
          <w:kern w:val="1"/>
          <w:sz w:val="20"/>
          <w:szCs w:val="20"/>
          <w:lang w:val="uk-UA" w:eastAsia="zh-CN" w:bidi="hi-IN"/>
        </w:rPr>
      </w:pPr>
      <w:r w:rsidRPr="009E2643">
        <w:rPr>
          <w:rFonts w:eastAsia="SimSun"/>
          <w:b/>
          <w:kern w:val="1"/>
          <w:sz w:val="20"/>
          <w:szCs w:val="20"/>
          <w:lang w:val="uk-UA" w:eastAsia="uk-UA" w:bidi="hi-IN"/>
        </w:rPr>
        <w:t>Інші умови</w:t>
      </w:r>
    </w:p>
    <w:p w:rsidR="00945DC3" w:rsidRPr="009E2643" w:rsidRDefault="00945DC3" w:rsidP="00945DC3">
      <w:pPr>
        <w:suppressAutoHyphens/>
        <w:jc w:val="both"/>
        <w:rPr>
          <w:rFonts w:eastAsia="SimSun"/>
          <w:kern w:val="1"/>
          <w:sz w:val="20"/>
          <w:szCs w:val="20"/>
          <w:lang w:val="uk-UA" w:eastAsia="zh-CN" w:bidi="hi-IN"/>
        </w:rPr>
      </w:pPr>
      <w:r w:rsidRPr="009E2643">
        <w:rPr>
          <w:rFonts w:eastAsia="SimSun"/>
          <w:kern w:val="1"/>
          <w:sz w:val="20"/>
          <w:szCs w:val="20"/>
          <w:lang w:val="uk-UA" w:eastAsia="uk-UA" w:bidi="hi-IN"/>
        </w:rPr>
        <w:t>Надання Споживачу інформації про зміну умов та терміну дії Договору, зміну тарифів, зміну суми до сплати в рахунках, виставлених згідно з умовами Договору, зміну строків оплати згідно виставлених рахунків, попередження про відключення за несплачену заборгованість, іншої інформації, що може бути корисною для Споживача, здійснюється (на вибір Постачальника) шляхом:</w:t>
      </w:r>
    </w:p>
    <w:p w:rsidR="00945DC3" w:rsidRPr="009E2643" w:rsidRDefault="00945DC3" w:rsidP="00945DC3">
      <w:pPr>
        <w:pStyle w:val="ae"/>
        <w:numPr>
          <w:ilvl w:val="1"/>
          <w:numId w:val="21"/>
        </w:numPr>
        <w:suppressAutoHyphens/>
        <w:ind w:left="566" w:hanging="283"/>
        <w:jc w:val="both"/>
        <w:rPr>
          <w:rFonts w:eastAsia="SimSun"/>
          <w:kern w:val="1"/>
          <w:sz w:val="20"/>
          <w:szCs w:val="20"/>
          <w:lang w:val="uk-UA" w:eastAsia="zh-CN" w:bidi="hi-IN"/>
        </w:rPr>
      </w:pPr>
      <w:r w:rsidRPr="009E2643">
        <w:rPr>
          <w:rFonts w:eastAsia="SimSun"/>
          <w:kern w:val="1"/>
          <w:sz w:val="20"/>
          <w:szCs w:val="20"/>
          <w:lang w:val="uk-UA" w:eastAsia="uk-UA" w:bidi="hi-IN"/>
        </w:rPr>
        <w:t>розміщення інформації на офіційному веб-сайті Постачальника;</w:t>
      </w:r>
    </w:p>
    <w:p w:rsidR="00945DC3" w:rsidRPr="009E2643" w:rsidRDefault="00945DC3" w:rsidP="00945DC3">
      <w:pPr>
        <w:pStyle w:val="ae"/>
        <w:numPr>
          <w:ilvl w:val="1"/>
          <w:numId w:val="21"/>
        </w:numPr>
        <w:suppressAutoHyphens/>
        <w:ind w:left="566" w:hanging="283"/>
        <w:jc w:val="both"/>
        <w:rPr>
          <w:rFonts w:eastAsia="SimSun"/>
          <w:kern w:val="1"/>
          <w:sz w:val="20"/>
          <w:szCs w:val="20"/>
          <w:lang w:val="uk-UA" w:eastAsia="zh-CN" w:bidi="hi-IN"/>
        </w:rPr>
      </w:pPr>
      <w:r w:rsidRPr="009E2643">
        <w:rPr>
          <w:rFonts w:eastAsia="SimSun"/>
          <w:kern w:val="1"/>
          <w:sz w:val="20"/>
          <w:szCs w:val="20"/>
          <w:lang w:val="uk-UA" w:eastAsia="zh-CN" w:bidi="hi-IN"/>
        </w:rPr>
        <w:t xml:space="preserve">надання інформації через особистий кабінет </w:t>
      </w:r>
      <w:r w:rsidR="0038228D" w:rsidRPr="009E2643">
        <w:rPr>
          <w:rFonts w:eastAsia="SimSun"/>
          <w:kern w:val="1"/>
          <w:sz w:val="20"/>
          <w:szCs w:val="20"/>
          <w:lang w:val="uk-UA" w:eastAsia="zh-CN" w:bidi="hi-IN"/>
        </w:rPr>
        <w:t>Споживача</w:t>
      </w:r>
      <w:r w:rsidRPr="009E2643">
        <w:rPr>
          <w:rFonts w:eastAsia="SimSun"/>
          <w:kern w:val="1"/>
          <w:sz w:val="20"/>
          <w:szCs w:val="20"/>
          <w:lang w:val="uk-UA" w:eastAsia="zh-CN" w:bidi="hi-IN"/>
        </w:rPr>
        <w:t>;</w:t>
      </w:r>
    </w:p>
    <w:p w:rsidR="00945DC3" w:rsidRPr="009E2643" w:rsidRDefault="00945DC3" w:rsidP="00945DC3">
      <w:pPr>
        <w:pStyle w:val="ae"/>
        <w:numPr>
          <w:ilvl w:val="1"/>
          <w:numId w:val="21"/>
        </w:numPr>
        <w:suppressAutoHyphens/>
        <w:ind w:left="566" w:hanging="283"/>
        <w:jc w:val="both"/>
        <w:rPr>
          <w:rFonts w:eastAsia="SimSun"/>
          <w:kern w:val="1"/>
          <w:sz w:val="20"/>
          <w:szCs w:val="20"/>
          <w:lang w:val="uk-UA" w:eastAsia="zh-CN" w:bidi="hi-IN"/>
        </w:rPr>
      </w:pPr>
      <w:r w:rsidRPr="009E2643">
        <w:rPr>
          <w:rFonts w:eastAsia="SimSun"/>
          <w:kern w:val="1"/>
          <w:sz w:val="20"/>
          <w:szCs w:val="20"/>
          <w:lang w:val="uk-UA" w:eastAsia="zh-CN" w:bidi="hi-IN"/>
        </w:rPr>
        <w:t xml:space="preserve">направлення листа на електронну </w:t>
      </w:r>
      <w:r w:rsidR="00287DEB">
        <w:rPr>
          <w:rFonts w:eastAsia="SimSun"/>
          <w:kern w:val="1"/>
          <w:sz w:val="20"/>
          <w:szCs w:val="20"/>
          <w:lang w:val="uk-UA" w:eastAsia="zh-CN" w:bidi="hi-IN"/>
        </w:rPr>
        <w:t xml:space="preserve">або поштову </w:t>
      </w:r>
      <w:r w:rsidRPr="009E2643">
        <w:rPr>
          <w:rFonts w:eastAsia="SimSun"/>
          <w:kern w:val="1"/>
          <w:sz w:val="20"/>
          <w:szCs w:val="20"/>
          <w:lang w:val="uk-UA" w:eastAsia="zh-CN" w:bidi="hi-IN"/>
        </w:rPr>
        <w:t>адресу Споживача, вказану у Договорі або у заяві-приєднанні;</w:t>
      </w:r>
    </w:p>
    <w:p w:rsidR="00945DC3" w:rsidRPr="009E2643" w:rsidRDefault="00945DC3" w:rsidP="00945DC3">
      <w:pPr>
        <w:pStyle w:val="ae"/>
        <w:numPr>
          <w:ilvl w:val="1"/>
          <w:numId w:val="21"/>
        </w:numPr>
        <w:suppressAutoHyphens/>
        <w:ind w:left="566" w:hanging="283"/>
        <w:jc w:val="both"/>
        <w:rPr>
          <w:rFonts w:eastAsia="SimSun"/>
          <w:kern w:val="1"/>
          <w:sz w:val="20"/>
          <w:szCs w:val="20"/>
          <w:lang w:val="uk-UA" w:eastAsia="zh-CN" w:bidi="hi-IN"/>
        </w:rPr>
      </w:pPr>
      <w:r w:rsidRPr="009E2643">
        <w:rPr>
          <w:rFonts w:eastAsia="SimSun"/>
          <w:kern w:val="1"/>
          <w:sz w:val="20"/>
          <w:szCs w:val="20"/>
          <w:lang w:val="uk-UA" w:eastAsia="uk-UA" w:bidi="hi-IN"/>
        </w:rPr>
        <w:t>направлення SMS-повідомлення на номер мобільного телефону Споживача, зазначений у Договорі або заяві-приєднанні;</w:t>
      </w:r>
    </w:p>
    <w:p w:rsidR="00945DC3" w:rsidRPr="009E2643" w:rsidRDefault="00945DC3" w:rsidP="00945DC3">
      <w:pPr>
        <w:pStyle w:val="ae"/>
        <w:numPr>
          <w:ilvl w:val="1"/>
          <w:numId w:val="21"/>
        </w:numPr>
        <w:suppressAutoHyphens/>
        <w:ind w:left="566" w:hanging="283"/>
        <w:jc w:val="both"/>
        <w:rPr>
          <w:rFonts w:eastAsia="SimSun"/>
          <w:kern w:val="1"/>
          <w:sz w:val="20"/>
          <w:szCs w:val="20"/>
          <w:lang w:val="uk-UA" w:eastAsia="zh-CN" w:bidi="hi-IN"/>
        </w:rPr>
      </w:pPr>
      <w:r w:rsidRPr="009E2643">
        <w:rPr>
          <w:rFonts w:eastAsia="SimSun"/>
          <w:kern w:val="1"/>
          <w:sz w:val="20"/>
          <w:szCs w:val="20"/>
          <w:lang w:val="uk-UA" w:eastAsia="uk-UA" w:bidi="hi-IN"/>
        </w:rPr>
        <w:t>розміщення інформації в центрах обслуговування клієнтів.</w:t>
      </w:r>
    </w:p>
    <w:tbl>
      <w:tblPr>
        <w:tblW w:w="10229" w:type="dxa"/>
        <w:tblInd w:w="1" w:type="dxa"/>
        <w:tblLayout w:type="fixed"/>
        <w:tblCellMar>
          <w:left w:w="24" w:type="dxa"/>
          <w:right w:w="40" w:type="dxa"/>
        </w:tblCellMar>
        <w:tblLook w:val="0000" w:firstRow="0" w:lastRow="0" w:firstColumn="0" w:lastColumn="0" w:noHBand="0" w:noVBand="0"/>
      </w:tblPr>
      <w:tblGrid>
        <w:gridCol w:w="10229"/>
      </w:tblGrid>
      <w:tr w:rsidR="00AB2DA0" w:rsidRPr="009E2643" w:rsidTr="00A31AFF">
        <w:trPr>
          <w:trHeight w:val="74"/>
        </w:trPr>
        <w:tc>
          <w:tcPr>
            <w:tcW w:w="10229" w:type="dxa"/>
            <w:shd w:val="clear" w:color="auto" w:fill="auto"/>
            <w:vAlign w:val="center"/>
          </w:tcPr>
          <w:p w:rsidR="00AB2DA0" w:rsidRPr="009E2643" w:rsidRDefault="00AB2DA0" w:rsidP="00A328D3">
            <w:pPr>
              <w:tabs>
                <w:tab w:val="left" w:pos="451"/>
              </w:tabs>
              <w:suppressAutoHyphens/>
              <w:jc w:val="both"/>
              <w:rPr>
                <w:rFonts w:eastAsia="SimSun"/>
                <w:kern w:val="1"/>
                <w:sz w:val="20"/>
                <w:szCs w:val="20"/>
                <w:lang w:val="uk-UA" w:eastAsia="uk-UA" w:bidi="hi-IN"/>
              </w:rPr>
            </w:pPr>
          </w:p>
        </w:tc>
      </w:tr>
    </w:tbl>
    <w:p w:rsidR="002C2CB1" w:rsidRDefault="002C2CB1" w:rsidP="00E104B6">
      <w:pPr>
        <w:suppressAutoHyphens/>
        <w:autoSpaceDE w:val="0"/>
        <w:jc w:val="both"/>
        <w:rPr>
          <w:rFonts w:ascii="Calibri" w:hAnsi="Calibri"/>
          <w:kern w:val="1"/>
          <w:sz w:val="4"/>
          <w:szCs w:val="4"/>
          <w:lang w:eastAsia="zh-CN"/>
        </w:rPr>
      </w:pPr>
    </w:p>
    <w:tbl>
      <w:tblPr>
        <w:tblW w:w="10229" w:type="dxa"/>
        <w:tblInd w:w="1" w:type="dxa"/>
        <w:tblLayout w:type="fixed"/>
        <w:tblCellMar>
          <w:left w:w="24" w:type="dxa"/>
          <w:right w:w="40" w:type="dxa"/>
        </w:tblCellMar>
        <w:tblLook w:val="0000" w:firstRow="0" w:lastRow="0" w:firstColumn="0" w:lastColumn="0" w:noHBand="0" w:noVBand="0"/>
      </w:tblPr>
      <w:tblGrid>
        <w:gridCol w:w="10229"/>
      </w:tblGrid>
      <w:tr w:rsidR="00AF7057" w:rsidRPr="00020F8B" w:rsidTr="000805D1">
        <w:trPr>
          <w:trHeight w:val="74"/>
        </w:trPr>
        <w:tc>
          <w:tcPr>
            <w:tcW w:w="10229" w:type="dxa"/>
            <w:shd w:val="clear" w:color="auto" w:fill="auto"/>
            <w:vAlign w:val="center"/>
          </w:tcPr>
          <w:p w:rsidR="00AF7057" w:rsidRPr="00A31AFF" w:rsidRDefault="00AF7057" w:rsidP="000805D1">
            <w:pPr>
              <w:tabs>
                <w:tab w:val="left" w:pos="451"/>
              </w:tabs>
              <w:suppressAutoHyphens/>
              <w:jc w:val="both"/>
              <w:rPr>
                <w:rFonts w:eastAsia="SimSun"/>
                <w:kern w:val="1"/>
                <w:sz w:val="16"/>
                <w:szCs w:val="16"/>
                <w:lang w:val="uk-UA" w:eastAsia="uk-UA" w:bidi="hi-IN"/>
              </w:rPr>
            </w:pPr>
          </w:p>
        </w:tc>
      </w:tr>
    </w:tbl>
    <w:p w:rsidR="00AF7057" w:rsidRPr="002C2CB1" w:rsidRDefault="00AF7057" w:rsidP="00AF7057">
      <w:pPr>
        <w:widowControl w:val="0"/>
        <w:shd w:val="pct15" w:color="auto" w:fill="auto"/>
        <w:jc w:val="center"/>
        <w:rPr>
          <w:rFonts w:ascii="Myriad Pro Light SemiExt" w:hAnsi="Myriad Pro Light SemiExt" w:cs="Courier New"/>
          <w:b/>
          <w:bCs/>
          <w:sz w:val="20"/>
          <w:lang w:val="uk-UA"/>
        </w:rPr>
      </w:pPr>
      <w:r w:rsidRPr="002C2CB1">
        <w:rPr>
          <w:rFonts w:ascii="Myriad Pro Light SemiExt" w:hAnsi="Myriad Pro Light SemiExt" w:cs="Courier New"/>
          <w:b/>
          <w:bCs/>
          <w:sz w:val="20"/>
          <w:lang w:val="uk-UA"/>
        </w:rPr>
        <w:t>ПІДПИСИ</w:t>
      </w:r>
    </w:p>
    <w:p w:rsidR="00AF7057" w:rsidRPr="002C2CB1" w:rsidRDefault="00AF7057" w:rsidP="00AF7057">
      <w:pPr>
        <w:rPr>
          <w:rFonts w:ascii="Calibri" w:hAnsi="Calibri"/>
          <w:sz w:val="8"/>
          <w:szCs w:val="22"/>
          <w:lang w:val="uk-UA"/>
        </w:rPr>
      </w:pPr>
    </w:p>
    <w:tbl>
      <w:tblPr>
        <w:tblW w:w="0" w:type="auto"/>
        <w:tblInd w:w="108" w:type="dxa"/>
        <w:tblLayout w:type="fixed"/>
        <w:tblLook w:val="0000" w:firstRow="0" w:lastRow="0" w:firstColumn="0" w:lastColumn="0" w:noHBand="0" w:noVBand="0"/>
      </w:tblPr>
      <w:tblGrid>
        <w:gridCol w:w="2152"/>
        <w:gridCol w:w="286"/>
        <w:gridCol w:w="2435"/>
        <w:gridCol w:w="573"/>
        <w:gridCol w:w="2154"/>
        <w:gridCol w:w="238"/>
        <w:gridCol w:w="2474"/>
      </w:tblGrid>
      <w:tr w:rsidR="00AF7057" w:rsidRPr="002C2CB1" w:rsidTr="000805D1">
        <w:trPr>
          <w:trHeight w:val="242"/>
        </w:trPr>
        <w:tc>
          <w:tcPr>
            <w:tcW w:w="4873" w:type="dxa"/>
            <w:gridSpan w:val="3"/>
            <w:shd w:val="clear" w:color="auto" w:fill="auto"/>
          </w:tcPr>
          <w:p w:rsidR="00AF7057" w:rsidRPr="002C2CB1" w:rsidRDefault="00AF7057" w:rsidP="000805D1">
            <w:pPr>
              <w:rPr>
                <w:rFonts w:ascii="Myriad Pro Light SemiExt" w:hAnsi="Myriad Pro Light SemiExt" w:cs="Courier New"/>
                <w:sz w:val="20"/>
                <w:lang w:val="uk-UA"/>
              </w:rPr>
            </w:pPr>
            <w:r w:rsidRPr="002C2CB1">
              <w:rPr>
                <w:rFonts w:ascii="Myriad Pro Light SemiExt" w:hAnsi="Myriad Pro Light SemiExt" w:cs="Courier New"/>
                <w:b/>
                <w:bCs/>
                <w:sz w:val="20"/>
                <w:lang w:val="uk-UA"/>
              </w:rPr>
              <w:t>Постачальник:</w:t>
            </w:r>
          </w:p>
        </w:tc>
        <w:tc>
          <w:tcPr>
            <w:tcW w:w="573" w:type="dxa"/>
            <w:shd w:val="clear" w:color="auto" w:fill="auto"/>
          </w:tcPr>
          <w:p w:rsidR="00AF7057" w:rsidRPr="002C2CB1" w:rsidRDefault="00AF7057" w:rsidP="000805D1">
            <w:pPr>
              <w:rPr>
                <w:rFonts w:ascii="Myriad Pro Light SemiExt" w:hAnsi="Myriad Pro Light SemiExt" w:cs="Courier New"/>
                <w:b/>
                <w:bCs/>
                <w:sz w:val="20"/>
                <w:lang w:val="uk-UA"/>
              </w:rPr>
            </w:pPr>
          </w:p>
        </w:tc>
        <w:tc>
          <w:tcPr>
            <w:tcW w:w="4866" w:type="dxa"/>
            <w:gridSpan w:val="3"/>
            <w:shd w:val="clear" w:color="auto" w:fill="auto"/>
          </w:tcPr>
          <w:p w:rsidR="00AF7057" w:rsidRPr="002C2CB1" w:rsidRDefault="00AF7057" w:rsidP="000805D1">
            <w:pPr>
              <w:rPr>
                <w:rFonts w:ascii="Myriad Pro Light SemiExt" w:hAnsi="Myriad Pro Light SemiExt" w:cs="Courier New"/>
                <w:b/>
                <w:bCs/>
                <w:sz w:val="20"/>
                <w:lang w:val="uk-UA"/>
              </w:rPr>
            </w:pPr>
            <w:r w:rsidRPr="002C2CB1">
              <w:rPr>
                <w:rFonts w:ascii="Myriad Pro Light SemiExt" w:hAnsi="Myriad Pro Light SemiExt" w:cs="Courier New"/>
                <w:b/>
                <w:bCs/>
                <w:sz w:val="20"/>
                <w:lang w:val="uk-UA"/>
              </w:rPr>
              <w:t>Споживач:</w:t>
            </w:r>
          </w:p>
        </w:tc>
      </w:tr>
      <w:tr w:rsidR="00AF7057" w:rsidRPr="002C2CB1" w:rsidTr="000805D1">
        <w:trPr>
          <w:trHeight w:val="62"/>
        </w:trPr>
        <w:tc>
          <w:tcPr>
            <w:tcW w:w="4873" w:type="dxa"/>
            <w:gridSpan w:val="3"/>
            <w:shd w:val="clear" w:color="auto" w:fill="auto"/>
          </w:tcPr>
          <w:p w:rsidR="00AF7057" w:rsidRPr="002C2CB1" w:rsidRDefault="00AF7057" w:rsidP="000805D1">
            <w:pPr>
              <w:rPr>
                <w:rFonts w:ascii="Myriad Pro Light SemiExt" w:hAnsi="Myriad Pro Light SemiExt" w:cs="Courier New"/>
                <w:b/>
                <w:bCs/>
                <w:sz w:val="8"/>
                <w:lang w:val="uk-UA"/>
              </w:rPr>
            </w:pPr>
          </w:p>
        </w:tc>
        <w:tc>
          <w:tcPr>
            <w:tcW w:w="573" w:type="dxa"/>
            <w:shd w:val="clear" w:color="auto" w:fill="auto"/>
          </w:tcPr>
          <w:p w:rsidR="00AF7057" w:rsidRPr="002C2CB1" w:rsidRDefault="00AF7057" w:rsidP="000805D1">
            <w:pPr>
              <w:rPr>
                <w:rFonts w:ascii="Myriad Pro Light SemiExt" w:hAnsi="Myriad Pro Light SemiExt" w:cs="Courier New"/>
                <w:b/>
                <w:bCs/>
                <w:sz w:val="8"/>
                <w:lang w:val="uk-UA"/>
              </w:rPr>
            </w:pPr>
          </w:p>
        </w:tc>
        <w:tc>
          <w:tcPr>
            <w:tcW w:w="4866" w:type="dxa"/>
            <w:gridSpan w:val="3"/>
            <w:shd w:val="clear" w:color="auto" w:fill="auto"/>
          </w:tcPr>
          <w:p w:rsidR="00AF7057" w:rsidRPr="002C2CB1" w:rsidRDefault="00AF7057" w:rsidP="000805D1">
            <w:pPr>
              <w:rPr>
                <w:rFonts w:ascii="Myriad Pro Light SemiExt" w:hAnsi="Myriad Pro Light SemiExt" w:cs="Courier New"/>
                <w:b/>
                <w:bCs/>
                <w:sz w:val="8"/>
                <w:lang w:val="uk-UA"/>
              </w:rPr>
            </w:pPr>
          </w:p>
        </w:tc>
      </w:tr>
      <w:tr w:rsidR="00AF7057" w:rsidRPr="002C2CB1" w:rsidTr="000805D1">
        <w:trPr>
          <w:trHeight w:val="418"/>
        </w:trPr>
        <w:tc>
          <w:tcPr>
            <w:tcW w:w="4873" w:type="dxa"/>
            <w:gridSpan w:val="3"/>
            <w:tcBorders>
              <w:bottom w:val="dotted" w:sz="4" w:space="0" w:color="auto"/>
            </w:tcBorders>
            <w:shd w:val="clear" w:color="auto" w:fill="auto"/>
          </w:tcPr>
          <w:p w:rsidR="00AF7057" w:rsidRPr="002C2CB1" w:rsidRDefault="00AF7057" w:rsidP="000805D1">
            <w:pPr>
              <w:jc w:val="center"/>
              <w:rPr>
                <w:rFonts w:ascii="Myriad Pro Light SemiExt" w:hAnsi="Myriad Pro Light SemiExt" w:cs="Courier New"/>
                <w:b/>
                <w:sz w:val="20"/>
                <w:lang w:val="uk-UA"/>
              </w:rPr>
            </w:pPr>
            <w:r w:rsidRPr="002C2CB1">
              <w:rPr>
                <w:rFonts w:ascii="Myriad Pro Light SemiExt" w:hAnsi="Myriad Pro Light SemiExt" w:cs="Courier New"/>
                <w:b/>
                <w:sz w:val="20"/>
                <w:lang w:val="uk-UA"/>
              </w:rPr>
              <w:t>ТОВАРИСТВО З ОБМЕЖЕНОЮ ВІДПОВІДАЛЬНІСТЮ «БІОЕНЕРДЖІТРАНС»</w:t>
            </w:r>
          </w:p>
        </w:tc>
        <w:tc>
          <w:tcPr>
            <w:tcW w:w="573" w:type="dxa"/>
            <w:shd w:val="clear" w:color="auto" w:fill="auto"/>
          </w:tcPr>
          <w:p w:rsidR="00AF7057" w:rsidRPr="002C2CB1" w:rsidRDefault="00AF7057" w:rsidP="000805D1">
            <w:pPr>
              <w:rPr>
                <w:rFonts w:ascii="Myriad Pro Light SemiExt" w:hAnsi="Myriad Pro Light SemiExt" w:cs="Courier New"/>
                <w:sz w:val="20"/>
                <w:lang w:val="uk-UA"/>
              </w:rPr>
            </w:pPr>
          </w:p>
        </w:tc>
        <w:tc>
          <w:tcPr>
            <w:tcW w:w="4866" w:type="dxa"/>
            <w:gridSpan w:val="3"/>
            <w:tcBorders>
              <w:bottom w:val="dotted" w:sz="4" w:space="0" w:color="auto"/>
            </w:tcBorders>
            <w:shd w:val="clear" w:color="auto" w:fill="auto"/>
          </w:tcPr>
          <w:p w:rsidR="00AF7057" w:rsidRPr="002C2CB1" w:rsidRDefault="00AF7057" w:rsidP="000805D1">
            <w:pPr>
              <w:jc w:val="center"/>
              <w:rPr>
                <w:rFonts w:ascii="Myriad Pro Light SemiExt" w:hAnsi="Myriad Pro Light SemiExt" w:cs="Courier New"/>
                <w:b/>
                <w:sz w:val="20"/>
                <w:lang w:val="uk-UA"/>
              </w:rPr>
            </w:pPr>
          </w:p>
        </w:tc>
      </w:tr>
      <w:tr w:rsidR="00AF7057" w:rsidRPr="002C2CB1" w:rsidTr="000805D1">
        <w:trPr>
          <w:trHeight w:val="269"/>
        </w:trPr>
        <w:tc>
          <w:tcPr>
            <w:tcW w:w="4873" w:type="dxa"/>
            <w:gridSpan w:val="3"/>
            <w:tcBorders>
              <w:top w:val="dotted" w:sz="4" w:space="0" w:color="auto"/>
            </w:tcBorders>
            <w:shd w:val="clear" w:color="auto" w:fill="auto"/>
          </w:tcPr>
          <w:p w:rsidR="00AF7057" w:rsidRDefault="00AF7057" w:rsidP="000805D1">
            <w:pPr>
              <w:suppressAutoHyphens/>
              <w:autoSpaceDE w:val="0"/>
              <w:jc w:val="both"/>
              <w:rPr>
                <w:rFonts w:ascii="Calibri" w:hAnsi="Calibri"/>
                <w:bCs/>
                <w:sz w:val="12"/>
                <w:szCs w:val="22"/>
                <w:lang w:val="uk-UA" w:eastAsia="ar-SA"/>
              </w:rPr>
            </w:pPr>
          </w:p>
          <w:p w:rsidR="00AF7057" w:rsidRPr="002C2CB1" w:rsidRDefault="00AF7057" w:rsidP="000805D1">
            <w:pPr>
              <w:suppressAutoHyphens/>
              <w:autoSpaceDE w:val="0"/>
              <w:jc w:val="both"/>
              <w:rPr>
                <w:rFonts w:ascii="Calibri" w:hAnsi="Calibri"/>
                <w:bCs/>
                <w:sz w:val="12"/>
                <w:szCs w:val="22"/>
                <w:lang w:val="uk-UA" w:eastAsia="ar-SA"/>
              </w:rPr>
            </w:pPr>
          </w:p>
        </w:tc>
        <w:tc>
          <w:tcPr>
            <w:tcW w:w="573" w:type="dxa"/>
            <w:shd w:val="clear" w:color="auto" w:fill="auto"/>
          </w:tcPr>
          <w:p w:rsidR="00AF7057" w:rsidRPr="002C2CB1" w:rsidRDefault="00AF7057" w:rsidP="000805D1">
            <w:pPr>
              <w:suppressAutoHyphens/>
              <w:autoSpaceDE w:val="0"/>
              <w:jc w:val="both"/>
              <w:rPr>
                <w:rFonts w:ascii="Calibri" w:hAnsi="Calibri"/>
                <w:bCs/>
                <w:sz w:val="12"/>
                <w:szCs w:val="22"/>
                <w:lang w:val="uk-UA" w:eastAsia="ar-SA"/>
              </w:rPr>
            </w:pPr>
          </w:p>
        </w:tc>
        <w:tc>
          <w:tcPr>
            <w:tcW w:w="4866" w:type="dxa"/>
            <w:gridSpan w:val="3"/>
            <w:tcBorders>
              <w:top w:val="dotted" w:sz="4" w:space="0" w:color="auto"/>
            </w:tcBorders>
            <w:shd w:val="clear" w:color="auto" w:fill="auto"/>
          </w:tcPr>
          <w:p w:rsidR="00AF7057" w:rsidRPr="002C2CB1" w:rsidRDefault="00AF7057" w:rsidP="000805D1">
            <w:pPr>
              <w:suppressAutoHyphens/>
              <w:autoSpaceDE w:val="0"/>
              <w:jc w:val="center"/>
              <w:rPr>
                <w:rFonts w:ascii="Calibri" w:hAnsi="Calibri"/>
                <w:bCs/>
                <w:sz w:val="12"/>
                <w:szCs w:val="22"/>
                <w:lang w:val="uk-UA" w:eastAsia="ar-SA"/>
              </w:rPr>
            </w:pPr>
            <w:r w:rsidRPr="002C2CB1">
              <w:rPr>
                <w:rFonts w:ascii="Calibri" w:hAnsi="Calibri"/>
                <w:bCs/>
                <w:sz w:val="12"/>
                <w:szCs w:val="22"/>
                <w:lang w:val="uk-UA" w:eastAsia="ar-SA"/>
              </w:rPr>
              <w:t>(найменування / П.І.Б.)</w:t>
            </w:r>
          </w:p>
        </w:tc>
      </w:tr>
      <w:tr w:rsidR="00AF7057" w:rsidRPr="002C2CB1" w:rsidTr="000805D1">
        <w:trPr>
          <w:trHeight w:val="454"/>
        </w:trPr>
        <w:tc>
          <w:tcPr>
            <w:tcW w:w="4873" w:type="dxa"/>
            <w:gridSpan w:val="3"/>
            <w:shd w:val="clear" w:color="auto" w:fill="auto"/>
          </w:tcPr>
          <w:p w:rsidR="00AF7057" w:rsidRDefault="00AF7057" w:rsidP="000805D1">
            <w:pPr>
              <w:suppressAutoHyphens/>
              <w:autoSpaceDE w:val="0"/>
              <w:rPr>
                <w:rFonts w:ascii="Calibri" w:hAnsi="Calibri"/>
                <w:b/>
                <w:bCs/>
                <w:sz w:val="20"/>
                <w:szCs w:val="22"/>
                <w:lang w:val="uk-UA" w:eastAsia="ar-SA"/>
              </w:rPr>
            </w:pPr>
            <w:r w:rsidRPr="002C2CB1">
              <w:rPr>
                <w:rFonts w:ascii="Calibri" w:hAnsi="Calibri"/>
                <w:b/>
                <w:bCs/>
                <w:sz w:val="20"/>
                <w:szCs w:val="22"/>
                <w:lang w:val="uk-UA" w:eastAsia="ar-SA"/>
              </w:rPr>
              <w:t>Директор</w:t>
            </w:r>
          </w:p>
          <w:p w:rsidR="00AF7057" w:rsidRPr="002C2CB1" w:rsidRDefault="00AF7057" w:rsidP="000805D1">
            <w:pPr>
              <w:suppressAutoHyphens/>
              <w:autoSpaceDE w:val="0"/>
              <w:rPr>
                <w:rFonts w:ascii="Calibri" w:hAnsi="Calibri"/>
                <w:b/>
                <w:bCs/>
                <w:sz w:val="20"/>
                <w:szCs w:val="22"/>
                <w:lang w:val="uk-UA" w:eastAsia="ar-SA"/>
              </w:rPr>
            </w:pPr>
          </w:p>
        </w:tc>
        <w:tc>
          <w:tcPr>
            <w:tcW w:w="573" w:type="dxa"/>
            <w:shd w:val="clear" w:color="auto" w:fill="auto"/>
          </w:tcPr>
          <w:p w:rsidR="00AF7057" w:rsidRPr="002C2CB1" w:rsidRDefault="00AF7057" w:rsidP="000805D1">
            <w:pPr>
              <w:suppressAutoHyphens/>
              <w:autoSpaceDE w:val="0"/>
              <w:jc w:val="both"/>
              <w:rPr>
                <w:rFonts w:ascii="Calibri" w:hAnsi="Calibri"/>
                <w:b/>
                <w:bCs/>
                <w:sz w:val="20"/>
                <w:szCs w:val="22"/>
                <w:lang w:val="uk-UA" w:eastAsia="ar-SA"/>
              </w:rPr>
            </w:pPr>
          </w:p>
        </w:tc>
        <w:tc>
          <w:tcPr>
            <w:tcW w:w="4866" w:type="dxa"/>
            <w:gridSpan w:val="3"/>
            <w:shd w:val="clear" w:color="auto" w:fill="auto"/>
          </w:tcPr>
          <w:p w:rsidR="00AF7057" w:rsidRPr="002C2CB1" w:rsidRDefault="00AF7057" w:rsidP="000805D1">
            <w:pPr>
              <w:suppressAutoHyphens/>
              <w:autoSpaceDE w:val="0"/>
              <w:jc w:val="both"/>
              <w:rPr>
                <w:rFonts w:ascii="Calibri" w:hAnsi="Calibri"/>
                <w:b/>
                <w:bCs/>
                <w:sz w:val="20"/>
                <w:szCs w:val="22"/>
                <w:lang w:val="uk-UA" w:eastAsia="ar-SA"/>
              </w:rPr>
            </w:pPr>
          </w:p>
        </w:tc>
      </w:tr>
      <w:tr w:rsidR="00AF7057" w:rsidRPr="002C2CB1" w:rsidTr="000805D1">
        <w:trPr>
          <w:trHeight w:val="62"/>
        </w:trPr>
        <w:tc>
          <w:tcPr>
            <w:tcW w:w="2152" w:type="dxa"/>
            <w:tcBorders>
              <w:bottom w:val="dotted" w:sz="4" w:space="0" w:color="auto"/>
            </w:tcBorders>
            <w:shd w:val="clear" w:color="auto" w:fill="auto"/>
            <w:vAlign w:val="bottom"/>
          </w:tcPr>
          <w:p w:rsidR="00AF7057" w:rsidRPr="002C2CB1" w:rsidRDefault="00AF7057" w:rsidP="000805D1">
            <w:pPr>
              <w:suppressAutoHyphens/>
              <w:autoSpaceDE w:val="0"/>
              <w:rPr>
                <w:rFonts w:ascii="Calibri" w:hAnsi="Calibri"/>
                <w:b/>
                <w:bCs/>
                <w:sz w:val="20"/>
                <w:szCs w:val="22"/>
                <w:lang w:val="uk-UA" w:eastAsia="ar-SA"/>
              </w:rPr>
            </w:pPr>
          </w:p>
        </w:tc>
        <w:tc>
          <w:tcPr>
            <w:tcW w:w="286" w:type="dxa"/>
            <w:shd w:val="clear" w:color="auto" w:fill="auto"/>
            <w:vAlign w:val="bottom"/>
          </w:tcPr>
          <w:p w:rsidR="00AF7057" w:rsidRPr="002C2CB1" w:rsidRDefault="00AF7057" w:rsidP="000805D1">
            <w:pPr>
              <w:suppressAutoHyphens/>
              <w:autoSpaceDE w:val="0"/>
              <w:rPr>
                <w:rFonts w:ascii="Calibri" w:hAnsi="Calibri"/>
                <w:b/>
                <w:bCs/>
                <w:sz w:val="20"/>
                <w:szCs w:val="22"/>
                <w:lang w:val="uk-UA" w:eastAsia="ar-SA"/>
              </w:rPr>
            </w:pPr>
          </w:p>
        </w:tc>
        <w:tc>
          <w:tcPr>
            <w:tcW w:w="2435" w:type="dxa"/>
            <w:tcBorders>
              <w:bottom w:val="dotted" w:sz="4" w:space="0" w:color="auto"/>
            </w:tcBorders>
            <w:shd w:val="clear" w:color="auto" w:fill="auto"/>
            <w:vAlign w:val="bottom"/>
          </w:tcPr>
          <w:p w:rsidR="00AF7057" w:rsidRPr="002C2CB1" w:rsidRDefault="00AF7057" w:rsidP="000805D1">
            <w:pPr>
              <w:widowControl w:val="0"/>
              <w:suppressAutoHyphens/>
              <w:autoSpaceDE w:val="0"/>
              <w:jc w:val="center"/>
              <w:rPr>
                <w:rFonts w:ascii="Calibri" w:hAnsi="Calibri"/>
                <w:b/>
                <w:bCs/>
                <w:sz w:val="20"/>
                <w:szCs w:val="22"/>
                <w:lang w:val="uk-UA" w:eastAsia="ar-SA"/>
              </w:rPr>
            </w:pPr>
            <w:proofErr w:type="spellStart"/>
            <w:r>
              <w:rPr>
                <w:rFonts w:ascii="Calibri" w:hAnsi="Calibri"/>
                <w:b/>
                <w:bCs/>
                <w:sz w:val="20"/>
                <w:szCs w:val="22"/>
                <w:lang w:val="uk-UA" w:eastAsia="ar-SA"/>
              </w:rPr>
              <w:t>Смислов</w:t>
            </w:r>
            <w:proofErr w:type="spellEnd"/>
            <w:r>
              <w:rPr>
                <w:rFonts w:ascii="Calibri" w:hAnsi="Calibri"/>
                <w:b/>
                <w:bCs/>
                <w:sz w:val="20"/>
                <w:szCs w:val="22"/>
                <w:lang w:val="uk-UA" w:eastAsia="ar-SA"/>
              </w:rPr>
              <w:t xml:space="preserve"> М.О.</w:t>
            </w:r>
          </w:p>
        </w:tc>
        <w:tc>
          <w:tcPr>
            <w:tcW w:w="573" w:type="dxa"/>
            <w:shd w:val="clear" w:color="auto" w:fill="auto"/>
          </w:tcPr>
          <w:p w:rsidR="00AF7057" w:rsidRPr="002C2CB1" w:rsidRDefault="00AF7057" w:rsidP="000805D1">
            <w:pPr>
              <w:suppressAutoHyphens/>
              <w:autoSpaceDE w:val="0"/>
              <w:jc w:val="both"/>
              <w:rPr>
                <w:rFonts w:ascii="Calibri" w:hAnsi="Calibri"/>
                <w:bCs/>
                <w:sz w:val="20"/>
                <w:szCs w:val="22"/>
                <w:lang w:val="uk-UA" w:eastAsia="ar-SA"/>
              </w:rPr>
            </w:pPr>
          </w:p>
        </w:tc>
        <w:tc>
          <w:tcPr>
            <w:tcW w:w="2154" w:type="dxa"/>
            <w:tcBorders>
              <w:bottom w:val="dotted" w:sz="4" w:space="0" w:color="auto"/>
            </w:tcBorders>
            <w:shd w:val="clear" w:color="auto" w:fill="auto"/>
          </w:tcPr>
          <w:p w:rsidR="00AF7057" w:rsidRPr="002C2CB1" w:rsidRDefault="00AF7057" w:rsidP="000805D1">
            <w:pPr>
              <w:suppressAutoHyphens/>
              <w:autoSpaceDE w:val="0"/>
              <w:jc w:val="both"/>
              <w:rPr>
                <w:rFonts w:ascii="Calibri" w:hAnsi="Calibri"/>
                <w:bCs/>
                <w:sz w:val="20"/>
                <w:szCs w:val="22"/>
                <w:lang w:val="uk-UA" w:eastAsia="ar-SA"/>
              </w:rPr>
            </w:pPr>
          </w:p>
        </w:tc>
        <w:tc>
          <w:tcPr>
            <w:tcW w:w="238" w:type="dxa"/>
            <w:shd w:val="clear" w:color="auto" w:fill="auto"/>
            <w:vAlign w:val="bottom"/>
          </w:tcPr>
          <w:p w:rsidR="00AF7057" w:rsidRPr="002C2CB1" w:rsidRDefault="00AF7057" w:rsidP="000805D1">
            <w:pPr>
              <w:suppressAutoHyphens/>
              <w:autoSpaceDE w:val="0"/>
              <w:rPr>
                <w:rFonts w:ascii="Calibri" w:hAnsi="Calibri"/>
                <w:b/>
                <w:bCs/>
                <w:sz w:val="20"/>
                <w:szCs w:val="22"/>
                <w:lang w:val="uk-UA" w:eastAsia="ar-SA"/>
              </w:rPr>
            </w:pPr>
          </w:p>
        </w:tc>
        <w:tc>
          <w:tcPr>
            <w:tcW w:w="2474" w:type="dxa"/>
            <w:tcBorders>
              <w:bottom w:val="dotted" w:sz="4" w:space="0" w:color="auto"/>
            </w:tcBorders>
            <w:shd w:val="clear" w:color="auto" w:fill="auto"/>
            <w:vAlign w:val="bottom"/>
          </w:tcPr>
          <w:p w:rsidR="00AF7057" w:rsidRPr="002C2CB1" w:rsidRDefault="00AF7057" w:rsidP="000805D1">
            <w:pPr>
              <w:suppressAutoHyphens/>
              <w:autoSpaceDE w:val="0"/>
              <w:jc w:val="center"/>
              <w:rPr>
                <w:rFonts w:ascii="Calibri" w:hAnsi="Calibri"/>
                <w:b/>
                <w:bCs/>
                <w:sz w:val="20"/>
                <w:szCs w:val="22"/>
                <w:lang w:val="uk-UA" w:eastAsia="ar-SA"/>
              </w:rPr>
            </w:pPr>
          </w:p>
        </w:tc>
      </w:tr>
      <w:tr w:rsidR="00AF7057" w:rsidRPr="002C2CB1" w:rsidTr="000805D1">
        <w:trPr>
          <w:trHeight w:val="153"/>
        </w:trPr>
        <w:tc>
          <w:tcPr>
            <w:tcW w:w="2152" w:type="dxa"/>
            <w:tcBorders>
              <w:top w:val="dotted" w:sz="4" w:space="0" w:color="auto"/>
            </w:tcBorders>
            <w:shd w:val="clear" w:color="auto" w:fill="auto"/>
          </w:tcPr>
          <w:p w:rsidR="00AF7057" w:rsidRPr="002C2CB1" w:rsidRDefault="00AF7057" w:rsidP="000805D1">
            <w:pPr>
              <w:suppressAutoHyphens/>
              <w:autoSpaceDE w:val="0"/>
              <w:snapToGrid w:val="0"/>
              <w:jc w:val="center"/>
              <w:rPr>
                <w:rFonts w:ascii="Calibri" w:hAnsi="Calibri"/>
                <w:sz w:val="12"/>
                <w:szCs w:val="22"/>
                <w:lang w:val="uk-UA" w:eastAsia="ar-SA"/>
              </w:rPr>
            </w:pPr>
            <w:r w:rsidRPr="002C2CB1">
              <w:rPr>
                <w:rFonts w:ascii="Calibri" w:hAnsi="Calibri"/>
                <w:sz w:val="12"/>
                <w:szCs w:val="22"/>
                <w:lang w:val="uk-UA" w:eastAsia="ar-SA"/>
              </w:rPr>
              <w:t>(підпис)</w:t>
            </w:r>
          </w:p>
        </w:tc>
        <w:tc>
          <w:tcPr>
            <w:tcW w:w="286" w:type="dxa"/>
            <w:shd w:val="clear" w:color="auto" w:fill="auto"/>
          </w:tcPr>
          <w:p w:rsidR="00AF7057" w:rsidRPr="002C2CB1" w:rsidRDefault="00AF7057" w:rsidP="000805D1">
            <w:pPr>
              <w:suppressAutoHyphens/>
              <w:autoSpaceDE w:val="0"/>
              <w:snapToGrid w:val="0"/>
              <w:jc w:val="both"/>
              <w:rPr>
                <w:rFonts w:ascii="Calibri" w:hAnsi="Calibri"/>
                <w:sz w:val="12"/>
                <w:szCs w:val="22"/>
                <w:lang w:val="uk-UA" w:eastAsia="ar-SA"/>
              </w:rPr>
            </w:pPr>
          </w:p>
        </w:tc>
        <w:tc>
          <w:tcPr>
            <w:tcW w:w="2435" w:type="dxa"/>
            <w:tcBorders>
              <w:top w:val="dotted" w:sz="4" w:space="0" w:color="auto"/>
            </w:tcBorders>
            <w:shd w:val="clear" w:color="auto" w:fill="auto"/>
          </w:tcPr>
          <w:p w:rsidR="00AF7057" w:rsidRPr="002C2CB1" w:rsidRDefault="00AF7057" w:rsidP="000805D1">
            <w:pPr>
              <w:suppressAutoHyphens/>
              <w:autoSpaceDE w:val="0"/>
              <w:snapToGrid w:val="0"/>
              <w:jc w:val="center"/>
              <w:rPr>
                <w:rFonts w:ascii="Calibri" w:hAnsi="Calibri"/>
                <w:sz w:val="12"/>
                <w:szCs w:val="22"/>
                <w:lang w:val="uk-UA" w:eastAsia="ar-SA"/>
              </w:rPr>
            </w:pPr>
            <w:r w:rsidRPr="002C2CB1">
              <w:rPr>
                <w:rFonts w:ascii="Calibri" w:hAnsi="Calibri"/>
                <w:sz w:val="12"/>
                <w:szCs w:val="22"/>
                <w:lang w:val="uk-UA" w:eastAsia="ar-SA"/>
              </w:rPr>
              <w:t>(</w:t>
            </w:r>
            <w:r w:rsidRPr="002C2CB1">
              <w:rPr>
                <w:rFonts w:ascii="Calibri" w:hAnsi="Calibri"/>
                <w:bCs/>
                <w:sz w:val="12"/>
                <w:szCs w:val="22"/>
                <w:lang w:val="uk-UA" w:eastAsia="ar-SA"/>
              </w:rPr>
              <w:t>П.І.Б.</w:t>
            </w:r>
            <w:r w:rsidRPr="002C2CB1">
              <w:rPr>
                <w:rFonts w:ascii="Calibri" w:hAnsi="Calibri"/>
                <w:sz w:val="12"/>
                <w:szCs w:val="22"/>
                <w:lang w:val="uk-UA" w:eastAsia="ar-SA"/>
              </w:rPr>
              <w:t>)</w:t>
            </w:r>
          </w:p>
        </w:tc>
        <w:tc>
          <w:tcPr>
            <w:tcW w:w="573" w:type="dxa"/>
            <w:shd w:val="clear" w:color="auto" w:fill="auto"/>
          </w:tcPr>
          <w:p w:rsidR="00AF7057" w:rsidRPr="002C2CB1" w:rsidRDefault="00AF7057" w:rsidP="000805D1">
            <w:pPr>
              <w:suppressAutoHyphens/>
              <w:autoSpaceDE w:val="0"/>
              <w:snapToGrid w:val="0"/>
              <w:jc w:val="both"/>
              <w:rPr>
                <w:rFonts w:ascii="Calibri" w:hAnsi="Calibri"/>
                <w:sz w:val="12"/>
                <w:szCs w:val="22"/>
                <w:lang w:val="uk-UA" w:eastAsia="ar-SA"/>
              </w:rPr>
            </w:pPr>
          </w:p>
        </w:tc>
        <w:tc>
          <w:tcPr>
            <w:tcW w:w="2154" w:type="dxa"/>
            <w:shd w:val="clear" w:color="auto" w:fill="auto"/>
          </w:tcPr>
          <w:p w:rsidR="00AF7057" w:rsidRPr="002C2CB1" w:rsidRDefault="00AF7057" w:rsidP="000805D1">
            <w:pPr>
              <w:suppressAutoHyphens/>
              <w:autoSpaceDE w:val="0"/>
              <w:snapToGrid w:val="0"/>
              <w:jc w:val="center"/>
              <w:rPr>
                <w:rFonts w:ascii="Calibri" w:hAnsi="Calibri"/>
                <w:sz w:val="12"/>
                <w:szCs w:val="22"/>
                <w:lang w:val="uk-UA" w:eastAsia="ar-SA"/>
              </w:rPr>
            </w:pPr>
            <w:r w:rsidRPr="002C2CB1">
              <w:rPr>
                <w:rFonts w:ascii="Calibri" w:hAnsi="Calibri"/>
                <w:sz w:val="12"/>
                <w:szCs w:val="22"/>
                <w:lang w:val="uk-UA" w:eastAsia="ar-SA"/>
              </w:rPr>
              <w:t>(підпис)</w:t>
            </w:r>
          </w:p>
        </w:tc>
        <w:tc>
          <w:tcPr>
            <w:tcW w:w="238" w:type="dxa"/>
            <w:shd w:val="clear" w:color="auto" w:fill="auto"/>
          </w:tcPr>
          <w:p w:rsidR="00AF7057" w:rsidRPr="002C2CB1" w:rsidRDefault="00AF7057" w:rsidP="000805D1">
            <w:pPr>
              <w:suppressAutoHyphens/>
              <w:autoSpaceDE w:val="0"/>
              <w:snapToGrid w:val="0"/>
              <w:jc w:val="both"/>
              <w:rPr>
                <w:rFonts w:ascii="Calibri" w:hAnsi="Calibri"/>
                <w:sz w:val="12"/>
                <w:szCs w:val="22"/>
                <w:lang w:val="uk-UA" w:eastAsia="ar-SA"/>
              </w:rPr>
            </w:pPr>
          </w:p>
        </w:tc>
        <w:tc>
          <w:tcPr>
            <w:tcW w:w="2474" w:type="dxa"/>
            <w:tcBorders>
              <w:top w:val="dotted" w:sz="4" w:space="0" w:color="auto"/>
            </w:tcBorders>
            <w:shd w:val="clear" w:color="auto" w:fill="auto"/>
          </w:tcPr>
          <w:p w:rsidR="00AF7057" w:rsidRPr="002C2CB1" w:rsidRDefault="00AF7057" w:rsidP="000805D1">
            <w:pPr>
              <w:suppressAutoHyphens/>
              <w:autoSpaceDE w:val="0"/>
              <w:snapToGrid w:val="0"/>
              <w:jc w:val="center"/>
              <w:rPr>
                <w:rFonts w:ascii="Calibri" w:hAnsi="Calibri"/>
                <w:sz w:val="12"/>
                <w:szCs w:val="22"/>
                <w:lang w:val="uk-UA" w:eastAsia="ar-SA"/>
              </w:rPr>
            </w:pPr>
            <w:r w:rsidRPr="002C2CB1">
              <w:rPr>
                <w:rFonts w:ascii="Calibri" w:hAnsi="Calibri"/>
                <w:sz w:val="12"/>
                <w:szCs w:val="22"/>
                <w:lang w:val="uk-UA" w:eastAsia="ar-SA"/>
              </w:rPr>
              <w:t>(</w:t>
            </w:r>
            <w:r w:rsidRPr="002C2CB1">
              <w:rPr>
                <w:rFonts w:ascii="Calibri" w:hAnsi="Calibri"/>
                <w:bCs/>
                <w:sz w:val="12"/>
                <w:szCs w:val="22"/>
                <w:lang w:val="uk-UA" w:eastAsia="ar-SA"/>
              </w:rPr>
              <w:t>П.І.Б.</w:t>
            </w:r>
            <w:r w:rsidRPr="002C2CB1">
              <w:rPr>
                <w:rFonts w:ascii="Calibri" w:hAnsi="Calibri"/>
                <w:sz w:val="12"/>
                <w:szCs w:val="22"/>
                <w:lang w:val="uk-UA" w:eastAsia="ar-SA"/>
              </w:rPr>
              <w:t>)</w:t>
            </w:r>
          </w:p>
        </w:tc>
      </w:tr>
    </w:tbl>
    <w:p w:rsidR="00AF7057" w:rsidRPr="00450CEB" w:rsidRDefault="00AF7057" w:rsidP="00AF7057">
      <w:pPr>
        <w:suppressAutoHyphens/>
        <w:autoSpaceDE w:val="0"/>
        <w:jc w:val="both"/>
        <w:rPr>
          <w:rFonts w:ascii="Calibri" w:hAnsi="Calibri"/>
          <w:kern w:val="1"/>
          <w:sz w:val="4"/>
          <w:szCs w:val="4"/>
          <w:lang w:eastAsia="zh-CN"/>
        </w:rPr>
      </w:pPr>
    </w:p>
    <w:p w:rsidR="00AF7057" w:rsidRPr="00450CEB" w:rsidRDefault="00AF7057" w:rsidP="00E104B6">
      <w:pPr>
        <w:suppressAutoHyphens/>
        <w:autoSpaceDE w:val="0"/>
        <w:jc w:val="both"/>
        <w:rPr>
          <w:rFonts w:ascii="Calibri" w:hAnsi="Calibri"/>
          <w:kern w:val="1"/>
          <w:sz w:val="4"/>
          <w:szCs w:val="4"/>
          <w:lang w:eastAsia="zh-CN"/>
        </w:rPr>
      </w:pPr>
      <w:bookmarkStart w:id="0" w:name="_GoBack"/>
      <w:bookmarkEnd w:id="0"/>
    </w:p>
    <w:sectPr w:rsidR="00AF7057" w:rsidRPr="00450CEB" w:rsidSect="00BA0EE5">
      <w:headerReference w:type="default" r:id="rId8"/>
      <w:footerReference w:type="default" r:id="rId9"/>
      <w:pgSz w:w="11906" w:h="16838"/>
      <w:pgMar w:top="613" w:right="566" w:bottom="851" w:left="1134" w:header="340" w:footer="52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997" w:rsidRDefault="003B4997" w:rsidP="00D80818">
      <w:r>
        <w:separator/>
      </w:r>
    </w:p>
  </w:endnote>
  <w:endnote w:type="continuationSeparator" w:id="0">
    <w:p w:rsidR="003B4997" w:rsidRDefault="003B4997" w:rsidP="00D80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rebuchet MS">
    <w:altName w:val="Trebuchet MS"/>
    <w:panose1 w:val="020B0603020202020204"/>
    <w:charset w:val="CC"/>
    <w:family w:val="swiss"/>
    <w:pitch w:val="variable"/>
    <w:sig w:usb0="000006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 w:name="Myriad Pro Light SemiExt">
    <w:altName w:val="Arial"/>
    <w:panose1 w:val="00000000000000000000"/>
    <w:charset w:val="00"/>
    <w:family w:val="swiss"/>
    <w:notTrueType/>
    <w:pitch w:val="variable"/>
    <w:sig w:usb0="00000001" w:usb1="5000204B"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Britannic Bold">
    <w:panose1 w:val="020B0903060703020204"/>
    <w:charset w:val="00"/>
    <w:family w:val="swiss"/>
    <w:pitch w:val="variable"/>
    <w:sig w:usb0="00000003" w:usb1="00000000" w:usb2="00000000" w:usb3="00000000" w:csb0="00000001" w:csb1="00000000"/>
  </w:font>
  <w:font w:name="Gisha">
    <w:charset w:val="00"/>
    <w:family w:val="swiss"/>
    <w:pitch w:val="variable"/>
    <w:sig w:usb0="80000807" w:usb1="40000042" w:usb2="00000000" w:usb3="00000000" w:csb0="0000002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A77" w:rsidRPr="00D65929" w:rsidRDefault="00AC5A77" w:rsidP="00CB65DE">
    <w:pPr>
      <w:pStyle w:val="a7"/>
      <w:jc w:val="center"/>
      <w:rPr>
        <w:rFonts w:ascii="Arial Unicode MS" w:eastAsia="Arial Unicode MS" w:hAnsi="Arial Unicode MS" w:cs="Arial Unicode MS"/>
        <w:i/>
        <w:color w:val="17365D"/>
        <w:sz w:val="6"/>
        <w:szCs w:val="14"/>
        <w:lang w:val="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AC5A77" w:rsidRPr="00AF7057" w:rsidTr="00450CEB">
      <w:tc>
        <w:tcPr>
          <w:tcW w:w="10314" w:type="dxa"/>
          <w:tcBorders>
            <w:top w:val="thickThinSmallGap" w:sz="12" w:space="0" w:color="1F497D"/>
            <w:left w:val="nil"/>
            <w:bottom w:val="nil"/>
            <w:right w:val="nil"/>
          </w:tcBorders>
        </w:tcPr>
        <w:p w:rsidR="00AC5A77" w:rsidRPr="00A94D7E" w:rsidRDefault="00AC5A77" w:rsidP="00A94D7E">
          <w:pPr>
            <w:pStyle w:val="a7"/>
            <w:tabs>
              <w:tab w:val="clear" w:pos="4677"/>
              <w:tab w:val="clear" w:pos="9355"/>
            </w:tabs>
            <w:spacing w:before="40"/>
            <w:jc w:val="center"/>
            <w:rPr>
              <w:rFonts w:eastAsia="Arial Unicode MS"/>
              <w:color w:val="17365D"/>
              <w:sz w:val="14"/>
              <w:szCs w:val="14"/>
              <w:lang w:val="uk-UA"/>
            </w:rPr>
          </w:pPr>
          <w:r w:rsidRPr="00A94D7E">
            <w:rPr>
              <w:rFonts w:eastAsia="Arial Unicode MS"/>
              <w:color w:val="17365D"/>
              <w:sz w:val="14"/>
              <w:szCs w:val="14"/>
              <w:lang w:val="en-US"/>
            </w:rPr>
            <w:t>www.betrans.com.ua | email: betrans.ua@gmail.com</w:t>
          </w:r>
        </w:p>
      </w:tc>
    </w:tr>
  </w:tbl>
  <w:p w:rsidR="00AC5A77" w:rsidRPr="00D0457F" w:rsidRDefault="00AC5A77" w:rsidP="00D65929">
    <w:pPr>
      <w:pStyle w:val="a7"/>
      <w:rPr>
        <w:rFonts w:eastAsia="Arial Unicode MS"/>
        <w:color w:val="17365D"/>
        <w:sz w:val="4"/>
        <w:szCs w:val="14"/>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997" w:rsidRDefault="003B4997" w:rsidP="00D80818">
      <w:r>
        <w:separator/>
      </w:r>
    </w:p>
  </w:footnote>
  <w:footnote w:type="continuationSeparator" w:id="0">
    <w:p w:rsidR="003B4997" w:rsidRDefault="003B4997" w:rsidP="00D808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4" w:type="dxa"/>
      <w:shd w:val="clear" w:color="auto" w:fill="FFFFFF"/>
      <w:tblLayout w:type="fixed"/>
      <w:tblLook w:val="04A0" w:firstRow="1" w:lastRow="0" w:firstColumn="1" w:lastColumn="0" w:noHBand="0" w:noVBand="1"/>
    </w:tblPr>
    <w:tblGrid>
      <w:gridCol w:w="1242"/>
      <w:gridCol w:w="5387"/>
      <w:gridCol w:w="3685"/>
    </w:tblGrid>
    <w:tr w:rsidR="00E469A1" w:rsidRPr="00AA350C" w:rsidTr="00E469A1">
      <w:trPr>
        <w:trHeight w:val="284"/>
      </w:trPr>
      <w:tc>
        <w:tcPr>
          <w:tcW w:w="1242" w:type="dxa"/>
          <w:vMerge w:val="restart"/>
          <w:shd w:val="clear" w:color="auto" w:fill="FFFFFF"/>
          <w:vAlign w:val="center"/>
        </w:tcPr>
        <w:p w:rsidR="00AC5A77" w:rsidRPr="00A94D7E" w:rsidRDefault="00450CEB" w:rsidP="00A94D7E">
          <w:pPr>
            <w:pStyle w:val="a3"/>
            <w:widowControl w:val="0"/>
            <w:ind w:left="-108" w:right="175"/>
            <w:jc w:val="center"/>
            <w:rPr>
              <w:rFonts w:ascii="Arial Unicode MS" w:eastAsia="Arial Unicode MS" w:hAnsi="Arial Unicode MS" w:cs="Arial Unicode MS"/>
              <w:b/>
              <w:i/>
              <w:color w:val="303C18"/>
              <w:sz w:val="20"/>
              <w:szCs w:val="20"/>
              <w:lang w:val="uk-UA"/>
            </w:rPr>
          </w:pPr>
          <w:r>
            <w:rPr>
              <w:rFonts w:ascii="Arial Unicode MS" w:eastAsia="Arial Unicode MS" w:hAnsi="Arial Unicode MS" w:cs="Arial Unicode MS"/>
              <w:b/>
              <w:i/>
              <w:noProof/>
              <w:color w:val="303C18"/>
              <w:sz w:val="20"/>
              <w:szCs w:val="20"/>
            </w:rPr>
            <w:drawing>
              <wp:inline distT="0" distB="0" distL="0" distR="0">
                <wp:extent cx="755650" cy="336550"/>
                <wp:effectExtent l="19050" t="0" r="6350" b="0"/>
                <wp:docPr id="1" name="Рисунок 1" descr="BIO-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O-Logo-col"/>
                        <pic:cNvPicPr>
                          <a:picLocks noChangeAspect="1" noChangeArrowheads="1"/>
                        </pic:cNvPicPr>
                      </pic:nvPicPr>
                      <pic:blipFill>
                        <a:blip r:embed="rId1"/>
                        <a:srcRect/>
                        <a:stretch>
                          <a:fillRect/>
                        </a:stretch>
                      </pic:blipFill>
                      <pic:spPr bwMode="auto">
                        <a:xfrm>
                          <a:off x="0" y="0"/>
                          <a:ext cx="755650" cy="336550"/>
                        </a:xfrm>
                        <a:prstGeom prst="rect">
                          <a:avLst/>
                        </a:prstGeom>
                        <a:noFill/>
                        <a:ln w="9525">
                          <a:noFill/>
                          <a:miter lim="800000"/>
                          <a:headEnd/>
                          <a:tailEnd/>
                        </a:ln>
                      </pic:spPr>
                    </pic:pic>
                  </a:graphicData>
                </a:graphic>
              </wp:inline>
            </w:drawing>
          </w:r>
        </w:p>
      </w:tc>
      <w:tc>
        <w:tcPr>
          <w:tcW w:w="5387" w:type="dxa"/>
          <w:shd w:val="clear" w:color="auto" w:fill="FFFFFF"/>
          <w:vAlign w:val="bottom"/>
        </w:tcPr>
        <w:p w:rsidR="00AC5A77" w:rsidRPr="00E469A1" w:rsidRDefault="00AC5A77" w:rsidP="00A94D7E">
          <w:pPr>
            <w:pStyle w:val="a3"/>
            <w:widowControl w:val="0"/>
            <w:rPr>
              <w:rFonts w:ascii="Bookman Old Style" w:eastAsia="Arial Unicode MS" w:hAnsi="Bookman Old Style"/>
              <w:b/>
              <w:caps/>
              <w:color w:val="17365D"/>
              <w:sz w:val="38"/>
              <w:szCs w:val="38"/>
              <w:lang w:val="uk-UA"/>
            </w:rPr>
          </w:pPr>
          <w:r w:rsidRPr="00E469A1">
            <w:rPr>
              <w:rFonts w:ascii="Bookman Old Style" w:eastAsia="Arial Unicode MS" w:hAnsi="Bookman Old Style"/>
              <w:b/>
              <w:caps/>
              <w:sz w:val="28"/>
              <w:szCs w:val="38"/>
              <w:lang w:val="uk-UA"/>
            </w:rPr>
            <w:t>БІОЕНЕРДЖІТРАНС</w:t>
          </w:r>
        </w:p>
      </w:tc>
      <w:tc>
        <w:tcPr>
          <w:tcW w:w="3685" w:type="dxa"/>
          <w:vMerge w:val="restart"/>
          <w:shd w:val="clear" w:color="auto" w:fill="FFFFFF"/>
          <w:vAlign w:val="center"/>
        </w:tcPr>
        <w:p w:rsidR="00AC5A77" w:rsidRPr="00A94D7E" w:rsidRDefault="00AC5A77" w:rsidP="00A94D7E">
          <w:pPr>
            <w:suppressAutoHyphens/>
            <w:rPr>
              <w:bCs/>
              <w:sz w:val="16"/>
              <w:lang w:val="uk-UA" w:eastAsia="uk-UA"/>
            </w:rPr>
          </w:pPr>
          <w:r w:rsidRPr="00A94D7E">
            <w:rPr>
              <w:bCs/>
              <w:sz w:val="16"/>
              <w:lang w:val="uk-UA" w:eastAsia="uk-UA"/>
            </w:rPr>
            <w:t>Додаток №2</w:t>
          </w:r>
        </w:p>
        <w:p w:rsidR="00AC5A77" w:rsidRPr="00A94D7E" w:rsidRDefault="00AC5A77" w:rsidP="00A94D7E">
          <w:pPr>
            <w:suppressAutoHyphens/>
            <w:rPr>
              <w:bCs/>
              <w:sz w:val="16"/>
              <w:lang w:val="uk-UA" w:eastAsia="uk-UA"/>
            </w:rPr>
          </w:pPr>
          <w:r w:rsidRPr="00A94D7E">
            <w:rPr>
              <w:bCs/>
              <w:sz w:val="16"/>
              <w:lang w:val="uk-UA" w:eastAsia="uk-UA"/>
            </w:rPr>
            <w:t>до Договору про постачання елект</w:t>
          </w:r>
          <w:r w:rsidR="00E67E4F" w:rsidRPr="00A94D7E">
            <w:rPr>
              <w:bCs/>
              <w:sz w:val="16"/>
              <w:lang w:val="uk-UA" w:eastAsia="uk-UA"/>
            </w:rPr>
            <w:t>ричної енергії споживачу № . . . . . від «. . .»</w:t>
          </w:r>
          <w:r w:rsidRPr="00A94D7E">
            <w:rPr>
              <w:bCs/>
              <w:sz w:val="16"/>
              <w:lang w:eastAsia="uk-UA"/>
            </w:rPr>
            <w:t xml:space="preserve"> </w:t>
          </w:r>
          <w:r w:rsidR="00E67E4F" w:rsidRPr="00A94D7E">
            <w:rPr>
              <w:bCs/>
              <w:sz w:val="16"/>
              <w:lang w:val="uk-UA" w:eastAsia="uk-UA"/>
            </w:rPr>
            <w:t>. . . . . . . . . . . 20. . . р.</w:t>
          </w:r>
        </w:p>
      </w:tc>
    </w:tr>
    <w:tr w:rsidR="00E469A1" w:rsidRPr="00910742" w:rsidTr="00E469A1">
      <w:trPr>
        <w:trHeight w:val="261"/>
      </w:trPr>
      <w:tc>
        <w:tcPr>
          <w:tcW w:w="1242" w:type="dxa"/>
          <w:vMerge/>
          <w:tcBorders>
            <w:bottom w:val="thinThickSmallGap" w:sz="12" w:space="0" w:color="1F497D"/>
          </w:tcBorders>
          <w:shd w:val="clear" w:color="auto" w:fill="FFFFFF"/>
          <w:vAlign w:val="center"/>
        </w:tcPr>
        <w:p w:rsidR="00AC5A77" w:rsidRPr="00A94D7E" w:rsidRDefault="00AC5A77" w:rsidP="00A94D7E">
          <w:pPr>
            <w:pStyle w:val="a3"/>
            <w:widowControl w:val="0"/>
            <w:ind w:left="-108" w:right="175"/>
            <w:jc w:val="center"/>
            <w:rPr>
              <w:rFonts w:ascii="Arial Unicode MS" w:eastAsia="Arial Unicode MS" w:hAnsi="Arial Unicode MS" w:cs="Arial Unicode MS"/>
              <w:b/>
              <w:i/>
              <w:noProof/>
              <w:color w:val="303C18"/>
              <w:sz w:val="20"/>
              <w:szCs w:val="20"/>
              <w:lang w:val="uk-UA"/>
            </w:rPr>
          </w:pPr>
        </w:p>
      </w:tc>
      <w:tc>
        <w:tcPr>
          <w:tcW w:w="5387" w:type="dxa"/>
          <w:tcBorders>
            <w:bottom w:val="thinThickSmallGap" w:sz="12" w:space="0" w:color="1F497D"/>
          </w:tcBorders>
          <w:shd w:val="clear" w:color="auto" w:fill="FFFFFF"/>
        </w:tcPr>
        <w:p w:rsidR="00AC5A77" w:rsidRPr="00A94D7E" w:rsidRDefault="00AC5A77" w:rsidP="00A94D7E">
          <w:pPr>
            <w:pStyle w:val="a3"/>
            <w:widowControl w:val="0"/>
            <w:ind w:left="34" w:right="33" w:hanging="34"/>
            <w:rPr>
              <w:rFonts w:eastAsia="Arial Unicode MS"/>
              <w:color w:val="303C18"/>
              <w:sz w:val="14"/>
              <w:szCs w:val="14"/>
              <w:lang w:val="uk-UA"/>
            </w:rPr>
          </w:pPr>
          <w:r w:rsidRPr="00A94D7E">
            <w:rPr>
              <w:rFonts w:eastAsia="Arial Unicode MS"/>
              <w:color w:val="303C18"/>
              <w:sz w:val="14"/>
              <w:szCs w:val="14"/>
              <w:lang w:val="uk-UA"/>
            </w:rPr>
            <w:t>07200, Київська область, Іванківський район, смт. Іванків, вул. Івана Проскури, 86</w:t>
          </w:r>
        </w:p>
        <w:p w:rsidR="00AC5A77" w:rsidRPr="00A94D7E" w:rsidRDefault="00AC5A77" w:rsidP="00A94D7E">
          <w:pPr>
            <w:pStyle w:val="a3"/>
            <w:widowControl w:val="0"/>
            <w:ind w:left="34" w:right="33" w:hanging="34"/>
            <w:rPr>
              <w:rFonts w:eastAsia="Arial Unicode MS"/>
              <w:color w:val="303C18"/>
              <w:sz w:val="12"/>
              <w:szCs w:val="16"/>
            </w:rPr>
          </w:pPr>
          <w:r w:rsidRPr="00A94D7E">
            <w:rPr>
              <w:rFonts w:eastAsia="Arial Unicode MS"/>
              <w:color w:val="303C18"/>
              <w:sz w:val="14"/>
              <w:szCs w:val="14"/>
              <w:lang w:val="uk-UA"/>
            </w:rPr>
            <w:t>Телефон: +38 044 4658575, 067 7344596, 099 6756101</w:t>
          </w:r>
        </w:p>
      </w:tc>
      <w:tc>
        <w:tcPr>
          <w:tcW w:w="3685" w:type="dxa"/>
          <w:vMerge/>
          <w:tcBorders>
            <w:bottom w:val="thinThickSmallGap" w:sz="12" w:space="0" w:color="1F497D"/>
          </w:tcBorders>
          <w:shd w:val="clear" w:color="auto" w:fill="FFFFFF"/>
        </w:tcPr>
        <w:p w:rsidR="00AC5A77" w:rsidRPr="00A94D7E" w:rsidRDefault="00AC5A77" w:rsidP="00A94D7E">
          <w:pPr>
            <w:pStyle w:val="a3"/>
            <w:widowControl w:val="0"/>
            <w:ind w:right="33"/>
            <w:rPr>
              <w:rFonts w:ascii="Britannic Bold" w:eastAsia="Arial Unicode MS" w:hAnsi="Britannic Bold" w:cs="Gisha"/>
              <w:b/>
              <w:caps/>
              <w:color w:val="17365D"/>
              <w:sz w:val="72"/>
              <w:szCs w:val="72"/>
              <w:lang w:val="uk-UA"/>
            </w:rPr>
          </w:pPr>
        </w:p>
      </w:tc>
    </w:tr>
  </w:tbl>
  <w:p w:rsidR="00AC5A77" w:rsidRPr="002C398F" w:rsidRDefault="00AC5A77">
    <w:pPr>
      <w:pStyle w:val="a5"/>
      <w:rPr>
        <w:color w:val="303C18"/>
        <w:sz w:val="4"/>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47C22994"/>
    <w:lvl w:ilvl="0">
      <w:start w:val="1"/>
      <w:numFmt w:val="decimal"/>
      <w:lvlText w:val="%1."/>
      <w:lvlJc w:val="left"/>
      <w:pPr>
        <w:tabs>
          <w:tab w:val="num" w:pos="360"/>
        </w:tabs>
        <w:ind w:left="360" w:hanging="360"/>
      </w:pPr>
      <w:rPr>
        <w:rFonts w:ascii="Calibri" w:eastAsia="SimSun" w:hAnsi="Calibri" w:cs="Calibri"/>
        <w:kern w:val="1"/>
        <w:sz w:val="24"/>
        <w:szCs w:val="24"/>
        <w:lang w:val="uk-UA" w:bidi="hi-IN"/>
      </w:rPr>
    </w:lvl>
    <w:lvl w:ilvl="1">
      <w:start w:val="1"/>
      <w:numFmt w:val="decimal"/>
      <w:lvlText w:val=" %1.%2 "/>
      <w:lvlJc w:val="left"/>
      <w:pPr>
        <w:tabs>
          <w:tab w:val="num" w:pos="8724"/>
        </w:tabs>
        <w:ind w:left="8724" w:hanging="360"/>
      </w:pPr>
      <w:rPr>
        <w:rFonts w:ascii="Calibri" w:eastAsia="SimSun" w:hAnsi="Calibri" w:cs="Calibri"/>
        <w:kern w:val="1"/>
        <w:sz w:val="24"/>
        <w:szCs w:val="24"/>
        <w:lang w:val="uk-UA" w:bidi="hi-IN"/>
      </w:rPr>
    </w:lvl>
    <w:lvl w:ilvl="2">
      <w:start w:val="1"/>
      <w:numFmt w:val="bullet"/>
      <w:lvlText w:val=""/>
      <w:lvlJc w:val="left"/>
      <w:pPr>
        <w:tabs>
          <w:tab w:val="num" w:pos="1080"/>
        </w:tabs>
        <w:ind w:left="1080" w:hanging="360"/>
      </w:pPr>
      <w:rPr>
        <w:rFonts w:ascii="Symbol" w:eastAsia="SimSun" w:hAnsi="Symbol" w:cs="Calibri" w:hint="default"/>
        <w:kern w:val="1"/>
        <w:sz w:val="24"/>
        <w:szCs w:val="24"/>
        <w:lang w:val="uk-UA" w:bidi="hi-IN"/>
      </w:rPr>
    </w:lvl>
    <w:lvl w:ilvl="3">
      <w:start w:val="1"/>
      <w:numFmt w:val="decimal"/>
      <w:lvlText w:val=" %1.%2.%3.%4 "/>
      <w:lvlJc w:val="left"/>
      <w:pPr>
        <w:tabs>
          <w:tab w:val="num" w:pos="1440"/>
        </w:tabs>
        <w:ind w:left="1440" w:hanging="360"/>
      </w:pPr>
    </w:lvl>
    <w:lvl w:ilvl="4">
      <w:start w:val="1"/>
      <w:numFmt w:val="decimal"/>
      <w:lvlText w:val=" %1.%2.%3.%4.%5 "/>
      <w:lvlJc w:val="left"/>
      <w:pPr>
        <w:tabs>
          <w:tab w:val="num" w:pos="1800"/>
        </w:tabs>
        <w:ind w:left="1800" w:hanging="360"/>
      </w:pPr>
    </w:lvl>
    <w:lvl w:ilvl="5">
      <w:start w:val="1"/>
      <w:numFmt w:val="decimal"/>
      <w:lvlText w:val=" %1.%2.%3.%4.%5.%6 "/>
      <w:lvlJc w:val="left"/>
      <w:pPr>
        <w:tabs>
          <w:tab w:val="num" w:pos="2160"/>
        </w:tabs>
        <w:ind w:left="2160" w:hanging="360"/>
      </w:pPr>
    </w:lvl>
    <w:lvl w:ilvl="6">
      <w:start w:val="1"/>
      <w:numFmt w:val="decimal"/>
      <w:lvlText w:val=" %1.%2.%3.%4.%5.%6.%7 "/>
      <w:lvlJc w:val="left"/>
      <w:pPr>
        <w:tabs>
          <w:tab w:val="num" w:pos="2520"/>
        </w:tabs>
        <w:ind w:left="2520" w:hanging="360"/>
      </w:pPr>
    </w:lvl>
    <w:lvl w:ilvl="7">
      <w:start w:val="1"/>
      <w:numFmt w:val="decimal"/>
      <w:lvlText w:val=" %1.%2.%3.%4.%5.%6.%7.%8 "/>
      <w:lvlJc w:val="left"/>
      <w:pPr>
        <w:tabs>
          <w:tab w:val="num" w:pos="2880"/>
        </w:tabs>
        <w:ind w:left="2880" w:hanging="360"/>
      </w:pPr>
    </w:lvl>
    <w:lvl w:ilvl="8">
      <w:start w:val="1"/>
      <w:numFmt w:val="decimal"/>
      <w:lvlText w:val=" %1.%2.%3.%4.%5.%6.%7.%8.%9 "/>
      <w:lvlJc w:val="left"/>
      <w:pPr>
        <w:tabs>
          <w:tab w:val="num" w:pos="3240"/>
        </w:tabs>
        <w:ind w:left="3240" w:hanging="360"/>
      </w:pPr>
    </w:lvl>
  </w:abstractNum>
  <w:abstractNum w:abstractNumId="1" w15:restartNumberingAfterBreak="0">
    <w:nsid w:val="01716B86"/>
    <w:multiLevelType w:val="hybridMultilevel"/>
    <w:tmpl w:val="4BBAB4B2"/>
    <w:lvl w:ilvl="0" w:tplc="8FD43BAA">
      <w:start w:val="1"/>
      <w:numFmt w:val="bullet"/>
      <w:lvlText w:val=""/>
      <w:lvlJc w:val="left"/>
      <w:pPr>
        <w:ind w:left="3479" w:hanging="360"/>
      </w:pPr>
      <w:rPr>
        <w:rFonts w:ascii="Wingdings" w:hAnsi="Wingdings" w:hint="default"/>
        <w:sz w:val="18"/>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 w15:restartNumberingAfterBreak="0">
    <w:nsid w:val="04EC0598"/>
    <w:multiLevelType w:val="hybridMultilevel"/>
    <w:tmpl w:val="79F408D4"/>
    <w:lvl w:ilvl="0" w:tplc="04220005">
      <w:start w:val="1"/>
      <w:numFmt w:val="bullet"/>
      <w:lvlText w:val=""/>
      <w:lvlJc w:val="left"/>
      <w:pPr>
        <w:ind w:left="777" w:hanging="360"/>
      </w:pPr>
      <w:rPr>
        <w:rFonts w:ascii="Wingdings" w:hAnsi="Wingdings" w:hint="default"/>
        <w:color w:val="auto"/>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3" w15:restartNumberingAfterBreak="0">
    <w:nsid w:val="09E07A6E"/>
    <w:multiLevelType w:val="hybridMultilevel"/>
    <w:tmpl w:val="392E1C60"/>
    <w:lvl w:ilvl="0" w:tplc="04190005">
      <w:start w:val="1"/>
      <w:numFmt w:val="bullet"/>
      <w:lvlText w:val=""/>
      <w:lvlJc w:val="left"/>
      <w:pPr>
        <w:ind w:left="861" w:hanging="360"/>
      </w:pPr>
      <w:rPr>
        <w:rFonts w:ascii="Wingdings" w:hAnsi="Wingdings"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4" w15:restartNumberingAfterBreak="0">
    <w:nsid w:val="0CE024F3"/>
    <w:multiLevelType w:val="hybridMultilevel"/>
    <w:tmpl w:val="1B9A220C"/>
    <w:lvl w:ilvl="0" w:tplc="088AF3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AC82424"/>
    <w:multiLevelType w:val="hybridMultilevel"/>
    <w:tmpl w:val="B4388110"/>
    <w:lvl w:ilvl="0" w:tplc="8282506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4144E"/>
    <w:multiLevelType w:val="hybridMultilevel"/>
    <w:tmpl w:val="7EA4E048"/>
    <w:lvl w:ilvl="0" w:tplc="088AF3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3ED7B05"/>
    <w:multiLevelType w:val="hybridMultilevel"/>
    <w:tmpl w:val="4CC0C068"/>
    <w:lvl w:ilvl="0" w:tplc="8B7C946A">
      <w:numFmt w:val="bullet"/>
      <w:lvlText w:val="-"/>
      <w:lvlJc w:val="left"/>
      <w:pPr>
        <w:ind w:left="417" w:hanging="360"/>
      </w:pPr>
      <w:rPr>
        <w:rFonts w:ascii="Calibri" w:eastAsia="SimSun" w:hAnsi="Calibri" w:cs="Times New Roman"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abstractNum w:abstractNumId="8" w15:restartNumberingAfterBreak="0">
    <w:nsid w:val="304E60FE"/>
    <w:multiLevelType w:val="hybridMultilevel"/>
    <w:tmpl w:val="BDA602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44C1262"/>
    <w:multiLevelType w:val="hybridMultilevel"/>
    <w:tmpl w:val="9DF2BB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05A7046"/>
    <w:multiLevelType w:val="hybridMultilevel"/>
    <w:tmpl w:val="3138AF3C"/>
    <w:lvl w:ilvl="0" w:tplc="D2768476">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9CF4A5B"/>
    <w:multiLevelType w:val="hybridMultilevel"/>
    <w:tmpl w:val="95C05CDA"/>
    <w:lvl w:ilvl="0" w:tplc="04220005">
      <w:start w:val="1"/>
      <w:numFmt w:val="bullet"/>
      <w:lvlText w:val=""/>
      <w:lvlJc w:val="left"/>
      <w:pPr>
        <w:ind w:left="729" w:hanging="360"/>
      </w:pPr>
      <w:rPr>
        <w:rFonts w:ascii="Wingdings" w:hAnsi="Wingdings" w:hint="default"/>
        <w:color w:val="auto"/>
      </w:rPr>
    </w:lvl>
    <w:lvl w:ilvl="1" w:tplc="04190003" w:tentative="1">
      <w:start w:val="1"/>
      <w:numFmt w:val="bullet"/>
      <w:lvlText w:val="o"/>
      <w:lvlJc w:val="left"/>
      <w:pPr>
        <w:ind w:left="1449" w:hanging="360"/>
      </w:pPr>
      <w:rPr>
        <w:rFonts w:ascii="Courier New" w:hAnsi="Courier New" w:cs="Courier New" w:hint="default"/>
      </w:rPr>
    </w:lvl>
    <w:lvl w:ilvl="2" w:tplc="04190005" w:tentative="1">
      <w:start w:val="1"/>
      <w:numFmt w:val="bullet"/>
      <w:lvlText w:val=""/>
      <w:lvlJc w:val="left"/>
      <w:pPr>
        <w:ind w:left="2169" w:hanging="360"/>
      </w:pPr>
      <w:rPr>
        <w:rFonts w:ascii="Wingdings" w:hAnsi="Wingdings" w:hint="default"/>
      </w:rPr>
    </w:lvl>
    <w:lvl w:ilvl="3" w:tplc="04190001" w:tentative="1">
      <w:start w:val="1"/>
      <w:numFmt w:val="bullet"/>
      <w:lvlText w:val=""/>
      <w:lvlJc w:val="left"/>
      <w:pPr>
        <w:ind w:left="2889" w:hanging="360"/>
      </w:pPr>
      <w:rPr>
        <w:rFonts w:ascii="Symbol" w:hAnsi="Symbol" w:hint="default"/>
      </w:rPr>
    </w:lvl>
    <w:lvl w:ilvl="4" w:tplc="04190003" w:tentative="1">
      <w:start w:val="1"/>
      <w:numFmt w:val="bullet"/>
      <w:lvlText w:val="o"/>
      <w:lvlJc w:val="left"/>
      <w:pPr>
        <w:ind w:left="3609" w:hanging="360"/>
      </w:pPr>
      <w:rPr>
        <w:rFonts w:ascii="Courier New" w:hAnsi="Courier New" w:cs="Courier New" w:hint="default"/>
      </w:rPr>
    </w:lvl>
    <w:lvl w:ilvl="5" w:tplc="04190005" w:tentative="1">
      <w:start w:val="1"/>
      <w:numFmt w:val="bullet"/>
      <w:lvlText w:val=""/>
      <w:lvlJc w:val="left"/>
      <w:pPr>
        <w:ind w:left="4329" w:hanging="360"/>
      </w:pPr>
      <w:rPr>
        <w:rFonts w:ascii="Wingdings" w:hAnsi="Wingdings" w:hint="default"/>
      </w:rPr>
    </w:lvl>
    <w:lvl w:ilvl="6" w:tplc="04190001" w:tentative="1">
      <w:start w:val="1"/>
      <w:numFmt w:val="bullet"/>
      <w:lvlText w:val=""/>
      <w:lvlJc w:val="left"/>
      <w:pPr>
        <w:ind w:left="5049" w:hanging="360"/>
      </w:pPr>
      <w:rPr>
        <w:rFonts w:ascii="Symbol" w:hAnsi="Symbol" w:hint="default"/>
      </w:rPr>
    </w:lvl>
    <w:lvl w:ilvl="7" w:tplc="04190003" w:tentative="1">
      <w:start w:val="1"/>
      <w:numFmt w:val="bullet"/>
      <w:lvlText w:val="o"/>
      <w:lvlJc w:val="left"/>
      <w:pPr>
        <w:ind w:left="5769" w:hanging="360"/>
      </w:pPr>
      <w:rPr>
        <w:rFonts w:ascii="Courier New" w:hAnsi="Courier New" w:cs="Courier New" w:hint="default"/>
      </w:rPr>
    </w:lvl>
    <w:lvl w:ilvl="8" w:tplc="04190005" w:tentative="1">
      <w:start w:val="1"/>
      <w:numFmt w:val="bullet"/>
      <w:lvlText w:val=""/>
      <w:lvlJc w:val="left"/>
      <w:pPr>
        <w:ind w:left="6489" w:hanging="360"/>
      </w:pPr>
      <w:rPr>
        <w:rFonts w:ascii="Wingdings" w:hAnsi="Wingdings" w:hint="default"/>
      </w:rPr>
    </w:lvl>
  </w:abstractNum>
  <w:abstractNum w:abstractNumId="12" w15:restartNumberingAfterBreak="0">
    <w:nsid w:val="4B5E2935"/>
    <w:multiLevelType w:val="multilevel"/>
    <w:tmpl w:val="47C22994"/>
    <w:lvl w:ilvl="0">
      <w:start w:val="1"/>
      <w:numFmt w:val="decimal"/>
      <w:lvlText w:val="%1."/>
      <w:lvlJc w:val="left"/>
      <w:pPr>
        <w:tabs>
          <w:tab w:val="num" w:pos="360"/>
        </w:tabs>
        <w:ind w:left="360" w:hanging="360"/>
      </w:pPr>
      <w:rPr>
        <w:rFonts w:ascii="Calibri" w:eastAsia="SimSun" w:hAnsi="Calibri" w:cs="Calibri"/>
        <w:kern w:val="1"/>
        <w:sz w:val="24"/>
        <w:szCs w:val="24"/>
        <w:lang w:val="uk-UA" w:bidi="hi-IN"/>
      </w:rPr>
    </w:lvl>
    <w:lvl w:ilvl="1">
      <w:start w:val="1"/>
      <w:numFmt w:val="decimal"/>
      <w:lvlText w:val=" %1.%2 "/>
      <w:lvlJc w:val="left"/>
      <w:pPr>
        <w:tabs>
          <w:tab w:val="num" w:pos="720"/>
        </w:tabs>
        <w:ind w:left="720" w:hanging="360"/>
      </w:pPr>
      <w:rPr>
        <w:rFonts w:ascii="Calibri" w:eastAsia="SimSun" w:hAnsi="Calibri" w:cs="Calibri"/>
        <w:kern w:val="1"/>
        <w:sz w:val="24"/>
        <w:szCs w:val="24"/>
        <w:lang w:val="uk-UA" w:bidi="hi-IN"/>
      </w:rPr>
    </w:lvl>
    <w:lvl w:ilvl="2">
      <w:start w:val="1"/>
      <w:numFmt w:val="bullet"/>
      <w:lvlText w:val=""/>
      <w:lvlJc w:val="left"/>
      <w:pPr>
        <w:tabs>
          <w:tab w:val="num" w:pos="1080"/>
        </w:tabs>
        <w:ind w:left="1080" w:hanging="360"/>
      </w:pPr>
      <w:rPr>
        <w:rFonts w:ascii="Symbol" w:eastAsia="SimSun" w:hAnsi="Symbol" w:cs="Calibri" w:hint="default"/>
        <w:kern w:val="1"/>
        <w:sz w:val="24"/>
        <w:szCs w:val="24"/>
        <w:lang w:val="uk-UA" w:bidi="hi-IN"/>
      </w:rPr>
    </w:lvl>
    <w:lvl w:ilvl="3">
      <w:start w:val="1"/>
      <w:numFmt w:val="decimal"/>
      <w:lvlText w:val=" %1.%2.%3.%4 "/>
      <w:lvlJc w:val="left"/>
      <w:pPr>
        <w:tabs>
          <w:tab w:val="num" w:pos="1440"/>
        </w:tabs>
        <w:ind w:left="1440" w:hanging="360"/>
      </w:pPr>
    </w:lvl>
    <w:lvl w:ilvl="4">
      <w:start w:val="1"/>
      <w:numFmt w:val="decimal"/>
      <w:lvlText w:val=" %1.%2.%3.%4.%5 "/>
      <w:lvlJc w:val="left"/>
      <w:pPr>
        <w:tabs>
          <w:tab w:val="num" w:pos="1800"/>
        </w:tabs>
        <w:ind w:left="1800" w:hanging="360"/>
      </w:pPr>
    </w:lvl>
    <w:lvl w:ilvl="5">
      <w:start w:val="1"/>
      <w:numFmt w:val="decimal"/>
      <w:lvlText w:val=" %1.%2.%3.%4.%5.%6 "/>
      <w:lvlJc w:val="left"/>
      <w:pPr>
        <w:tabs>
          <w:tab w:val="num" w:pos="2160"/>
        </w:tabs>
        <w:ind w:left="2160" w:hanging="360"/>
      </w:pPr>
    </w:lvl>
    <w:lvl w:ilvl="6">
      <w:start w:val="1"/>
      <w:numFmt w:val="decimal"/>
      <w:lvlText w:val=" %1.%2.%3.%4.%5.%6.%7 "/>
      <w:lvlJc w:val="left"/>
      <w:pPr>
        <w:tabs>
          <w:tab w:val="num" w:pos="2520"/>
        </w:tabs>
        <w:ind w:left="2520" w:hanging="360"/>
      </w:pPr>
    </w:lvl>
    <w:lvl w:ilvl="7">
      <w:start w:val="1"/>
      <w:numFmt w:val="decimal"/>
      <w:lvlText w:val=" %1.%2.%3.%4.%5.%6.%7.%8 "/>
      <w:lvlJc w:val="left"/>
      <w:pPr>
        <w:tabs>
          <w:tab w:val="num" w:pos="2880"/>
        </w:tabs>
        <w:ind w:left="2880" w:hanging="360"/>
      </w:pPr>
    </w:lvl>
    <w:lvl w:ilvl="8">
      <w:start w:val="1"/>
      <w:numFmt w:val="decimal"/>
      <w:lvlText w:val=" %1.%2.%3.%4.%5.%6.%7.%8.%9 "/>
      <w:lvlJc w:val="left"/>
      <w:pPr>
        <w:tabs>
          <w:tab w:val="num" w:pos="3240"/>
        </w:tabs>
        <w:ind w:left="3240" w:hanging="360"/>
      </w:pPr>
    </w:lvl>
  </w:abstractNum>
  <w:abstractNum w:abstractNumId="13" w15:restartNumberingAfterBreak="0">
    <w:nsid w:val="56EF5570"/>
    <w:multiLevelType w:val="hybridMultilevel"/>
    <w:tmpl w:val="D90C25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4AD1368"/>
    <w:multiLevelType w:val="hybridMultilevel"/>
    <w:tmpl w:val="755CB280"/>
    <w:lvl w:ilvl="0" w:tplc="088AF3DE">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6657735C"/>
    <w:multiLevelType w:val="hybridMultilevel"/>
    <w:tmpl w:val="AEE2936A"/>
    <w:lvl w:ilvl="0" w:tplc="F1F4B498">
      <w:numFmt w:val="bullet"/>
      <w:lvlText w:val="-"/>
      <w:lvlJc w:val="left"/>
      <w:pPr>
        <w:ind w:left="369" w:hanging="360"/>
      </w:pPr>
      <w:rPr>
        <w:rFonts w:ascii="Calibri" w:eastAsia="SimSun" w:hAnsi="Calibri" w:cs="Times New Roman"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16" w15:restartNumberingAfterBreak="0">
    <w:nsid w:val="6A934A50"/>
    <w:multiLevelType w:val="hybridMultilevel"/>
    <w:tmpl w:val="755CB280"/>
    <w:lvl w:ilvl="0" w:tplc="088AF3DE">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6D484460"/>
    <w:multiLevelType w:val="hybridMultilevel"/>
    <w:tmpl w:val="5FBE6D66"/>
    <w:lvl w:ilvl="0" w:tplc="04190005">
      <w:start w:val="1"/>
      <w:numFmt w:val="bullet"/>
      <w:lvlText w:val=""/>
      <w:lvlJc w:val="left"/>
      <w:pPr>
        <w:ind w:left="720" w:hanging="360"/>
      </w:pPr>
      <w:rPr>
        <w:rFonts w:ascii="Wingdings" w:hAnsi="Wingdings" w:hint="default"/>
      </w:rPr>
    </w:lvl>
    <w:lvl w:ilvl="1" w:tplc="3E14E25A">
      <w:numFmt w:val="bullet"/>
      <w:lvlText w:val="-"/>
      <w:lvlJc w:val="left"/>
      <w:pPr>
        <w:ind w:left="1440" w:hanging="360"/>
      </w:pPr>
      <w:rPr>
        <w:rFonts w:ascii="Times New Roman" w:eastAsia="SimSu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F8B6702"/>
    <w:multiLevelType w:val="hybridMultilevel"/>
    <w:tmpl w:val="111E2558"/>
    <w:lvl w:ilvl="0" w:tplc="088AF3DE">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73943ED0"/>
    <w:multiLevelType w:val="hybridMultilevel"/>
    <w:tmpl w:val="C7D00BDA"/>
    <w:lvl w:ilvl="0" w:tplc="04190005">
      <w:start w:val="1"/>
      <w:numFmt w:val="bullet"/>
      <w:lvlText w:val=""/>
      <w:lvlJc w:val="left"/>
      <w:pPr>
        <w:ind w:left="720" w:hanging="360"/>
      </w:pPr>
      <w:rPr>
        <w:rFonts w:ascii="Wingdings" w:hAnsi="Wingdings"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A1B249E"/>
    <w:multiLevelType w:val="hybridMultilevel"/>
    <w:tmpl w:val="0E5C1C8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EB1331D"/>
    <w:multiLevelType w:val="hybridMultilevel"/>
    <w:tmpl w:val="5FF828B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4"/>
  </w:num>
  <w:num w:numId="4">
    <w:abstractNumId w:val="18"/>
  </w:num>
  <w:num w:numId="5">
    <w:abstractNumId w:val="6"/>
  </w:num>
  <w:num w:numId="6">
    <w:abstractNumId w:val="14"/>
  </w:num>
  <w:num w:numId="7">
    <w:abstractNumId w:val="16"/>
  </w:num>
  <w:num w:numId="8">
    <w:abstractNumId w:val="0"/>
  </w:num>
  <w:num w:numId="9">
    <w:abstractNumId w:val="12"/>
  </w:num>
  <w:num w:numId="10">
    <w:abstractNumId w:val="11"/>
  </w:num>
  <w:num w:numId="11">
    <w:abstractNumId w:val="15"/>
  </w:num>
  <w:num w:numId="12">
    <w:abstractNumId w:val="2"/>
  </w:num>
  <w:num w:numId="13">
    <w:abstractNumId w:val="7"/>
  </w:num>
  <w:num w:numId="14">
    <w:abstractNumId w:val="17"/>
  </w:num>
  <w:num w:numId="15">
    <w:abstractNumId w:val="20"/>
  </w:num>
  <w:num w:numId="16">
    <w:abstractNumId w:val="3"/>
  </w:num>
  <w:num w:numId="17">
    <w:abstractNumId w:val="10"/>
  </w:num>
  <w:num w:numId="18">
    <w:abstractNumId w:val="1"/>
  </w:num>
  <w:num w:numId="19">
    <w:abstractNumId w:val="13"/>
  </w:num>
  <w:num w:numId="20">
    <w:abstractNumId w:val="21"/>
  </w:num>
  <w:num w:numId="21">
    <w:abstractNumId w:val="19"/>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25B"/>
    <w:rsid w:val="00004C37"/>
    <w:rsid w:val="00011B22"/>
    <w:rsid w:val="00020F8B"/>
    <w:rsid w:val="00030AD9"/>
    <w:rsid w:val="00044EEF"/>
    <w:rsid w:val="00045090"/>
    <w:rsid w:val="0006028B"/>
    <w:rsid w:val="00061E34"/>
    <w:rsid w:val="00064A5D"/>
    <w:rsid w:val="0007692E"/>
    <w:rsid w:val="00081C4F"/>
    <w:rsid w:val="000B5509"/>
    <w:rsid w:val="000C048B"/>
    <w:rsid w:val="000C1081"/>
    <w:rsid w:val="000C508B"/>
    <w:rsid w:val="000C556E"/>
    <w:rsid w:val="000C5E48"/>
    <w:rsid w:val="000D7501"/>
    <w:rsid w:val="000E6F0F"/>
    <w:rsid w:val="00102AB1"/>
    <w:rsid w:val="001052A5"/>
    <w:rsid w:val="0011782E"/>
    <w:rsid w:val="00133A2D"/>
    <w:rsid w:val="00140CE8"/>
    <w:rsid w:val="0014243E"/>
    <w:rsid w:val="00143551"/>
    <w:rsid w:val="00145390"/>
    <w:rsid w:val="00147068"/>
    <w:rsid w:val="001638AD"/>
    <w:rsid w:val="00163B32"/>
    <w:rsid w:val="001816B8"/>
    <w:rsid w:val="00190339"/>
    <w:rsid w:val="001A1FA3"/>
    <w:rsid w:val="001A2F19"/>
    <w:rsid w:val="001B34AF"/>
    <w:rsid w:val="001E5497"/>
    <w:rsid w:val="001F4FA8"/>
    <w:rsid w:val="0020471D"/>
    <w:rsid w:val="00207B8F"/>
    <w:rsid w:val="00213792"/>
    <w:rsid w:val="002174AA"/>
    <w:rsid w:val="002227A1"/>
    <w:rsid w:val="00224562"/>
    <w:rsid w:val="002266D7"/>
    <w:rsid w:val="00232E26"/>
    <w:rsid w:val="00233F9D"/>
    <w:rsid w:val="002364CE"/>
    <w:rsid w:val="00253220"/>
    <w:rsid w:val="0026040E"/>
    <w:rsid w:val="00267268"/>
    <w:rsid w:val="00272BBC"/>
    <w:rsid w:val="002753D9"/>
    <w:rsid w:val="00276D99"/>
    <w:rsid w:val="00287DEB"/>
    <w:rsid w:val="002A1DE6"/>
    <w:rsid w:val="002B0DA2"/>
    <w:rsid w:val="002B1C23"/>
    <w:rsid w:val="002B549B"/>
    <w:rsid w:val="002C01C6"/>
    <w:rsid w:val="002C2CB1"/>
    <w:rsid w:val="002C398F"/>
    <w:rsid w:val="002C7F33"/>
    <w:rsid w:val="002D1DC3"/>
    <w:rsid w:val="002E11C5"/>
    <w:rsid w:val="002E3400"/>
    <w:rsid w:val="002F14B9"/>
    <w:rsid w:val="002F1B13"/>
    <w:rsid w:val="002F384E"/>
    <w:rsid w:val="002F748D"/>
    <w:rsid w:val="00335984"/>
    <w:rsid w:val="00343379"/>
    <w:rsid w:val="003518AD"/>
    <w:rsid w:val="003543AF"/>
    <w:rsid w:val="003708EE"/>
    <w:rsid w:val="0038228D"/>
    <w:rsid w:val="0039614C"/>
    <w:rsid w:val="003A30DC"/>
    <w:rsid w:val="003A3E88"/>
    <w:rsid w:val="003A3EFD"/>
    <w:rsid w:val="003B4997"/>
    <w:rsid w:val="003B7FC6"/>
    <w:rsid w:val="003C0A9B"/>
    <w:rsid w:val="003C7D9F"/>
    <w:rsid w:val="003D0561"/>
    <w:rsid w:val="003E37EB"/>
    <w:rsid w:val="003F0BA8"/>
    <w:rsid w:val="003F4876"/>
    <w:rsid w:val="004056ED"/>
    <w:rsid w:val="004062C5"/>
    <w:rsid w:val="0042221B"/>
    <w:rsid w:val="00442559"/>
    <w:rsid w:val="004467F6"/>
    <w:rsid w:val="00450CEB"/>
    <w:rsid w:val="00453EB0"/>
    <w:rsid w:val="004649A6"/>
    <w:rsid w:val="004674D2"/>
    <w:rsid w:val="0049593F"/>
    <w:rsid w:val="004A4902"/>
    <w:rsid w:val="004C254A"/>
    <w:rsid w:val="004D0459"/>
    <w:rsid w:val="004D0670"/>
    <w:rsid w:val="00502056"/>
    <w:rsid w:val="00505871"/>
    <w:rsid w:val="00513463"/>
    <w:rsid w:val="00525C86"/>
    <w:rsid w:val="0054044A"/>
    <w:rsid w:val="00547710"/>
    <w:rsid w:val="00555C55"/>
    <w:rsid w:val="00560914"/>
    <w:rsid w:val="00567DA4"/>
    <w:rsid w:val="00571647"/>
    <w:rsid w:val="00574494"/>
    <w:rsid w:val="00595F97"/>
    <w:rsid w:val="00596BFF"/>
    <w:rsid w:val="00597720"/>
    <w:rsid w:val="005B35F2"/>
    <w:rsid w:val="005B3D3D"/>
    <w:rsid w:val="005B6F26"/>
    <w:rsid w:val="005C132A"/>
    <w:rsid w:val="005C5F7D"/>
    <w:rsid w:val="005D0CAD"/>
    <w:rsid w:val="005D6BA0"/>
    <w:rsid w:val="005D6C1B"/>
    <w:rsid w:val="005E2A57"/>
    <w:rsid w:val="005F5969"/>
    <w:rsid w:val="00611CFE"/>
    <w:rsid w:val="00625DD1"/>
    <w:rsid w:val="00636189"/>
    <w:rsid w:val="006522EB"/>
    <w:rsid w:val="0067530D"/>
    <w:rsid w:val="00691F83"/>
    <w:rsid w:val="006C7F86"/>
    <w:rsid w:val="006D2FC3"/>
    <w:rsid w:val="006F714A"/>
    <w:rsid w:val="00702B72"/>
    <w:rsid w:val="00713247"/>
    <w:rsid w:val="00723C90"/>
    <w:rsid w:val="00747D06"/>
    <w:rsid w:val="00753CF1"/>
    <w:rsid w:val="00756580"/>
    <w:rsid w:val="0076438E"/>
    <w:rsid w:val="0076685F"/>
    <w:rsid w:val="00766865"/>
    <w:rsid w:val="00771733"/>
    <w:rsid w:val="00786A52"/>
    <w:rsid w:val="00797B81"/>
    <w:rsid w:val="007A333C"/>
    <w:rsid w:val="007D2382"/>
    <w:rsid w:val="007F0E3A"/>
    <w:rsid w:val="008075B8"/>
    <w:rsid w:val="008327EB"/>
    <w:rsid w:val="00842B03"/>
    <w:rsid w:val="00850AA8"/>
    <w:rsid w:val="00862745"/>
    <w:rsid w:val="0086516B"/>
    <w:rsid w:val="00875DDD"/>
    <w:rsid w:val="00876730"/>
    <w:rsid w:val="008A0225"/>
    <w:rsid w:val="008A4121"/>
    <w:rsid w:val="008B2F96"/>
    <w:rsid w:val="008B3467"/>
    <w:rsid w:val="008C1B39"/>
    <w:rsid w:val="008E10AE"/>
    <w:rsid w:val="008E1F5B"/>
    <w:rsid w:val="008F1B1F"/>
    <w:rsid w:val="00900CFE"/>
    <w:rsid w:val="00910742"/>
    <w:rsid w:val="00914253"/>
    <w:rsid w:val="00915DA9"/>
    <w:rsid w:val="009375A8"/>
    <w:rsid w:val="009458FD"/>
    <w:rsid w:val="00945DC3"/>
    <w:rsid w:val="00946D0F"/>
    <w:rsid w:val="00954602"/>
    <w:rsid w:val="00965E70"/>
    <w:rsid w:val="00975469"/>
    <w:rsid w:val="009801E6"/>
    <w:rsid w:val="009C3634"/>
    <w:rsid w:val="009D1F64"/>
    <w:rsid w:val="009D46AB"/>
    <w:rsid w:val="009E2643"/>
    <w:rsid w:val="00A04BE4"/>
    <w:rsid w:val="00A102E8"/>
    <w:rsid w:val="00A172F6"/>
    <w:rsid w:val="00A30993"/>
    <w:rsid w:val="00A31AFF"/>
    <w:rsid w:val="00A328D3"/>
    <w:rsid w:val="00A36EC5"/>
    <w:rsid w:val="00A43D6F"/>
    <w:rsid w:val="00A5725B"/>
    <w:rsid w:val="00A63CD6"/>
    <w:rsid w:val="00A82792"/>
    <w:rsid w:val="00A947E9"/>
    <w:rsid w:val="00A94D7E"/>
    <w:rsid w:val="00A97F92"/>
    <w:rsid w:val="00AA350C"/>
    <w:rsid w:val="00AB2DA0"/>
    <w:rsid w:val="00AB397D"/>
    <w:rsid w:val="00AC56BD"/>
    <w:rsid w:val="00AC5A77"/>
    <w:rsid w:val="00AE39B0"/>
    <w:rsid w:val="00AF2591"/>
    <w:rsid w:val="00AF7057"/>
    <w:rsid w:val="00B162EE"/>
    <w:rsid w:val="00B2263D"/>
    <w:rsid w:val="00B22664"/>
    <w:rsid w:val="00B30A9C"/>
    <w:rsid w:val="00B35977"/>
    <w:rsid w:val="00B65622"/>
    <w:rsid w:val="00B717F2"/>
    <w:rsid w:val="00B73BB2"/>
    <w:rsid w:val="00BA0EE5"/>
    <w:rsid w:val="00BB3F18"/>
    <w:rsid w:val="00BC0ED5"/>
    <w:rsid w:val="00BC2C40"/>
    <w:rsid w:val="00BC2F48"/>
    <w:rsid w:val="00BC7451"/>
    <w:rsid w:val="00BE15CE"/>
    <w:rsid w:val="00BE6AED"/>
    <w:rsid w:val="00BF5BF2"/>
    <w:rsid w:val="00C12884"/>
    <w:rsid w:val="00C17885"/>
    <w:rsid w:val="00C303CA"/>
    <w:rsid w:val="00C327AD"/>
    <w:rsid w:val="00C50856"/>
    <w:rsid w:val="00C7040B"/>
    <w:rsid w:val="00C74D63"/>
    <w:rsid w:val="00C76EE7"/>
    <w:rsid w:val="00C81A93"/>
    <w:rsid w:val="00C82453"/>
    <w:rsid w:val="00C9110B"/>
    <w:rsid w:val="00C9124D"/>
    <w:rsid w:val="00CB0706"/>
    <w:rsid w:val="00CB08E9"/>
    <w:rsid w:val="00CB65DE"/>
    <w:rsid w:val="00CE28F3"/>
    <w:rsid w:val="00CF008A"/>
    <w:rsid w:val="00CF534B"/>
    <w:rsid w:val="00D0457F"/>
    <w:rsid w:val="00D07F8E"/>
    <w:rsid w:val="00D13F99"/>
    <w:rsid w:val="00D263A0"/>
    <w:rsid w:val="00D26494"/>
    <w:rsid w:val="00D33905"/>
    <w:rsid w:val="00D346F7"/>
    <w:rsid w:val="00D42D07"/>
    <w:rsid w:val="00D5647F"/>
    <w:rsid w:val="00D65929"/>
    <w:rsid w:val="00D760A6"/>
    <w:rsid w:val="00D80818"/>
    <w:rsid w:val="00D818AF"/>
    <w:rsid w:val="00D86FEB"/>
    <w:rsid w:val="00DA0A9C"/>
    <w:rsid w:val="00DB28B4"/>
    <w:rsid w:val="00DC1D12"/>
    <w:rsid w:val="00DC56DF"/>
    <w:rsid w:val="00DD2556"/>
    <w:rsid w:val="00DD4F43"/>
    <w:rsid w:val="00DE0819"/>
    <w:rsid w:val="00DF4601"/>
    <w:rsid w:val="00E0680F"/>
    <w:rsid w:val="00E104B6"/>
    <w:rsid w:val="00E17C5E"/>
    <w:rsid w:val="00E307D7"/>
    <w:rsid w:val="00E34F9F"/>
    <w:rsid w:val="00E3672F"/>
    <w:rsid w:val="00E415BB"/>
    <w:rsid w:val="00E469A1"/>
    <w:rsid w:val="00E541E6"/>
    <w:rsid w:val="00E67E4F"/>
    <w:rsid w:val="00E86435"/>
    <w:rsid w:val="00EA2BCB"/>
    <w:rsid w:val="00EC39A1"/>
    <w:rsid w:val="00EF2663"/>
    <w:rsid w:val="00F15E4D"/>
    <w:rsid w:val="00F24D33"/>
    <w:rsid w:val="00F2538D"/>
    <w:rsid w:val="00F43D4D"/>
    <w:rsid w:val="00F44182"/>
    <w:rsid w:val="00F4493D"/>
    <w:rsid w:val="00F51B5E"/>
    <w:rsid w:val="00F543DE"/>
    <w:rsid w:val="00F84723"/>
    <w:rsid w:val="00FB384E"/>
    <w:rsid w:val="00FC5841"/>
    <w:rsid w:val="00FD1C8A"/>
    <w:rsid w:val="00FD5A56"/>
    <w:rsid w:val="00FF3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023F1B"/>
  <w15:docId w15:val="{B621DCC7-B270-4AD0-9436-126D03C17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40B"/>
    <w:rPr>
      <w:sz w:val="24"/>
      <w:szCs w:val="24"/>
    </w:rPr>
  </w:style>
  <w:style w:type="paragraph" w:styleId="1">
    <w:name w:val="heading 1"/>
    <w:basedOn w:val="a"/>
    <w:next w:val="a"/>
    <w:link w:val="10"/>
    <w:qFormat/>
    <w:rsid w:val="00965E70"/>
    <w:pPr>
      <w:keepNext/>
      <w:jc w:val="right"/>
      <w:outlineLvl w:val="0"/>
    </w:pPr>
    <w:rPr>
      <w:rFonts w:ascii="Bookman Old Style" w:hAnsi="Bookman Old Style"/>
      <w:b/>
      <w:bCs/>
      <w:i/>
      <w:i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A57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paragraph" w:styleId="a3">
    <w:name w:val="No Spacing"/>
    <w:uiPriority w:val="1"/>
    <w:qFormat/>
    <w:rsid w:val="008E10AE"/>
    <w:rPr>
      <w:sz w:val="24"/>
      <w:szCs w:val="24"/>
    </w:rPr>
  </w:style>
  <w:style w:type="table" w:styleId="a4">
    <w:name w:val="Table Grid"/>
    <w:basedOn w:val="a1"/>
    <w:rsid w:val="008E1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80818"/>
    <w:pPr>
      <w:tabs>
        <w:tab w:val="center" w:pos="4677"/>
        <w:tab w:val="right" w:pos="9355"/>
      </w:tabs>
    </w:pPr>
  </w:style>
  <w:style w:type="character" w:customStyle="1" w:styleId="a6">
    <w:name w:val="Верхний колонтитул Знак"/>
    <w:link w:val="a5"/>
    <w:rsid w:val="00D80818"/>
    <w:rPr>
      <w:sz w:val="24"/>
      <w:szCs w:val="24"/>
    </w:rPr>
  </w:style>
  <w:style w:type="paragraph" w:styleId="a7">
    <w:name w:val="footer"/>
    <w:basedOn w:val="a"/>
    <w:link w:val="a8"/>
    <w:uiPriority w:val="99"/>
    <w:rsid w:val="00D80818"/>
    <w:pPr>
      <w:tabs>
        <w:tab w:val="center" w:pos="4677"/>
        <w:tab w:val="right" w:pos="9355"/>
      </w:tabs>
    </w:pPr>
  </w:style>
  <w:style w:type="character" w:customStyle="1" w:styleId="a8">
    <w:name w:val="Нижний колонтитул Знак"/>
    <w:link w:val="a7"/>
    <w:uiPriority w:val="99"/>
    <w:rsid w:val="00D80818"/>
    <w:rPr>
      <w:sz w:val="24"/>
      <w:szCs w:val="24"/>
    </w:rPr>
  </w:style>
  <w:style w:type="table" w:customStyle="1" w:styleId="11">
    <w:name w:val="Сетка таблицы1"/>
    <w:basedOn w:val="a1"/>
    <w:next w:val="a4"/>
    <w:uiPriority w:val="59"/>
    <w:rsid w:val="0020471D"/>
    <w:pPr>
      <w:widowControl w:val="0"/>
    </w:pPr>
    <w:rPr>
      <w:rFonts w:ascii="Courier New" w:eastAsia="Courier New" w:hAnsi="Courier New" w:cs="Courier New"/>
      <w:sz w:val="24"/>
      <w:szCs w:val="24"/>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20471D"/>
    <w:rPr>
      <w:color w:val="0000FF"/>
      <w:u w:val="single"/>
    </w:rPr>
  </w:style>
  <w:style w:type="character" w:styleId="aa">
    <w:name w:val="Subtle Emphasis"/>
    <w:uiPriority w:val="19"/>
    <w:qFormat/>
    <w:rsid w:val="00513463"/>
    <w:rPr>
      <w:i/>
      <w:iCs/>
      <w:color w:val="808080"/>
    </w:rPr>
  </w:style>
  <w:style w:type="paragraph" w:styleId="ab">
    <w:name w:val="Balloon Text"/>
    <w:basedOn w:val="a"/>
    <w:link w:val="ac"/>
    <w:rsid w:val="00513463"/>
    <w:rPr>
      <w:rFonts w:ascii="Tahoma" w:hAnsi="Tahoma" w:cs="Tahoma"/>
      <w:sz w:val="16"/>
      <w:szCs w:val="16"/>
    </w:rPr>
  </w:style>
  <w:style w:type="character" w:customStyle="1" w:styleId="ac">
    <w:name w:val="Текст выноски Знак"/>
    <w:link w:val="ab"/>
    <w:rsid w:val="00513463"/>
    <w:rPr>
      <w:rFonts w:ascii="Tahoma" w:hAnsi="Tahoma" w:cs="Tahoma"/>
      <w:sz w:val="16"/>
      <w:szCs w:val="16"/>
    </w:rPr>
  </w:style>
  <w:style w:type="character" w:customStyle="1" w:styleId="FontStyle28">
    <w:name w:val="Font Style28"/>
    <w:rsid w:val="00D65929"/>
    <w:rPr>
      <w:rFonts w:ascii="Trebuchet MS" w:hAnsi="Trebuchet MS" w:cs="Trebuchet MS"/>
      <w:sz w:val="24"/>
      <w:szCs w:val="24"/>
    </w:rPr>
  </w:style>
  <w:style w:type="paragraph" w:customStyle="1" w:styleId="ad">
    <w:name w:val="Содержимое таблицы"/>
    <w:basedOn w:val="a"/>
    <w:rsid w:val="00D65929"/>
    <w:pPr>
      <w:widowControl w:val="0"/>
      <w:suppressLineNumbers/>
      <w:suppressAutoHyphens/>
    </w:pPr>
    <w:rPr>
      <w:rFonts w:ascii="Calibri" w:eastAsia="SimSun" w:hAnsi="Calibri" w:cs="Mangal"/>
      <w:kern w:val="1"/>
      <w:lang w:val="uk-UA" w:eastAsia="zh-CN" w:bidi="hi-IN"/>
    </w:rPr>
  </w:style>
  <w:style w:type="paragraph" w:customStyle="1" w:styleId="Style11">
    <w:name w:val="Style11"/>
    <w:basedOn w:val="a"/>
    <w:rsid w:val="00D65929"/>
    <w:pPr>
      <w:widowControl w:val="0"/>
      <w:autoSpaceDE w:val="0"/>
      <w:spacing w:line="344" w:lineRule="exact"/>
      <w:ind w:firstLine="1411"/>
      <w:jc w:val="both"/>
    </w:pPr>
    <w:rPr>
      <w:rFonts w:ascii="Trebuchet MS" w:hAnsi="Trebuchet MS"/>
      <w:kern w:val="1"/>
      <w:lang w:eastAsia="zh-CN"/>
    </w:rPr>
  </w:style>
  <w:style w:type="character" w:customStyle="1" w:styleId="FontStyle11">
    <w:name w:val="Font Style11"/>
    <w:rsid w:val="00965E70"/>
    <w:rPr>
      <w:rFonts w:ascii="Times New Roman" w:hAnsi="Times New Roman" w:cs="Times New Roman"/>
      <w:b/>
      <w:bCs/>
      <w:sz w:val="22"/>
      <w:szCs w:val="22"/>
    </w:rPr>
  </w:style>
  <w:style w:type="character" w:customStyle="1" w:styleId="FontStyle12">
    <w:name w:val="Font Style12"/>
    <w:rsid w:val="00965E70"/>
    <w:rPr>
      <w:rFonts w:ascii="Times New Roman" w:hAnsi="Times New Roman" w:cs="Times New Roman"/>
      <w:sz w:val="22"/>
      <w:szCs w:val="22"/>
    </w:rPr>
  </w:style>
  <w:style w:type="paragraph" w:customStyle="1" w:styleId="Style5">
    <w:name w:val="Style5"/>
    <w:basedOn w:val="a"/>
    <w:rsid w:val="00965E70"/>
    <w:pPr>
      <w:suppressAutoHyphens/>
      <w:spacing w:line="276" w:lineRule="exact"/>
      <w:jc w:val="center"/>
    </w:pPr>
    <w:rPr>
      <w:rFonts w:ascii="Liberation Serif" w:eastAsia="SimSun" w:hAnsi="Liberation Serif" w:cs="Arial"/>
      <w:kern w:val="1"/>
      <w:lang w:val="uk-UA" w:eastAsia="zh-CN" w:bidi="hi-IN"/>
    </w:rPr>
  </w:style>
  <w:style w:type="paragraph" w:customStyle="1" w:styleId="Style6">
    <w:name w:val="Style6"/>
    <w:basedOn w:val="a"/>
    <w:rsid w:val="00965E70"/>
    <w:pPr>
      <w:suppressAutoHyphens/>
      <w:spacing w:line="278" w:lineRule="exact"/>
    </w:pPr>
    <w:rPr>
      <w:rFonts w:ascii="Liberation Serif" w:eastAsia="SimSun" w:hAnsi="Liberation Serif" w:cs="Arial"/>
      <w:kern w:val="1"/>
      <w:lang w:val="uk-UA" w:eastAsia="zh-CN" w:bidi="hi-IN"/>
    </w:rPr>
  </w:style>
  <w:style w:type="paragraph" w:customStyle="1" w:styleId="Style1">
    <w:name w:val="Style1"/>
    <w:basedOn w:val="a"/>
    <w:rsid w:val="00965E70"/>
    <w:pPr>
      <w:suppressAutoHyphens/>
      <w:spacing w:line="276" w:lineRule="exact"/>
      <w:jc w:val="both"/>
    </w:pPr>
    <w:rPr>
      <w:rFonts w:ascii="Liberation Serif" w:eastAsia="SimSun" w:hAnsi="Liberation Serif" w:cs="Arial"/>
      <w:kern w:val="1"/>
      <w:lang w:val="uk-UA" w:eastAsia="zh-CN" w:bidi="hi-IN"/>
    </w:rPr>
  </w:style>
  <w:style w:type="paragraph" w:customStyle="1" w:styleId="Style7">
    <w:name w:val="Style7"/>
    <w:basedOn w:val="a"/>
    <w:rsid w:val="00965E70"/>
    <w:pPr>
      <w:suppressAutoHyphens/>
      <w:spacing w:line="276" w:lineRule="exact"/>
    </w:pPr>
    <w:rPr>
      <w:rFonts w:ascii="Liberation Serif" w:eastAsia="SimSun" w:hAnsi="Liberation Serif" w:cs="Arial"/>
      <w:kern w:val="1"/>
      <w:lang w:val="uk-UA" w:eastAsia="zh-CN" w:bidi="hi-IN"/>
    </w:rPr>
  </w:style>
  <w:style w:type="character" w:customStyle="1" w:styleId="10">
    <w:name w:val="Заголовок 1 Знак"/>
    <w:link w:val="1"/>
    <w:rsid w:val="00965E70"/>
    <w:rPr>
      <w:rFonts w:ascii="Bookman Old Style" w:hAnsi="Bookman Old Style"/>
      <w:b/>
      <w:bCs/>
      <w:i/>
      <w:iCs/>
      <w:sz w:val="24"/>
      <w:szCs w:val="24"/>
      <w:lang w:val="uk-UA"/>
    </w:rPr>
  </w:style>
  <w:style w:type="paragraph" w:styleId="ae">
    <w:name w:val="List Paragraph"/>
    <w:basedOn w:val="a"/>
    <w:uiPriority w:val="99"/>
    <w:qFormat/>
    <w:rsid w:val="008327EB"/>
    <w:pPr>
      <w:ind w:left="720"/>
      <w:contextualSpacing/>
    </w:pPr>
  </w:style>
  <w:style w:type="paragraph" w:styleId="2">
    <w:name w:val="Body Text Indent 2"/>
    <w:basedOn w:val="a"/>
    <w:link w:val="20"/>
    <w:rsid w:val="002A1DE6"/>
    <w:pPr>
      <w:ind w:firstLine="360"/>
      <w:jc w:val="both"/>
    </w:pPr>
    <w:rPr>
      <w:lang w:val="uk-UA"/>
    </w:rPr>
  </w:style>
  <w:style w:type="character" w:customStyle="1" w:styleId="20">
    <w:name w:val="Основной текст с отступом 2 Знак"/>
    <w:link w:val="2"/>
    <w:rsid w:val="002A1DE6"/>
    <w:rPr>
      <w:sz w:val="24"/>
      <w:szCs w:val="24"/>
      <w:lang w:val="uk-UA"/>
    </w:rPr>
  </w:style>
  <w:style w:type="character" w:customStyle="1" w:styleId="FontStyle16">
    <w:name w:val="Font Style16"/>
    <w:rsid w:val="002A1DE6"/>
    <w:rPr>
      <w:rFonts w:ascii="Times New Roman" w:hAnsi="Times New Roman" w:cs="Times New Roman"/>
      <w:b/>
      <w:bCs/>
      <w:sz w:val="20"/>
      <w:szCs w:val="20"/>
    </w:rPr>
  </w:style>
  <w:style w:type="paragraph" w:customStyle="1" w:styleId="Style3">
    <w:name w:val="Style3"/>
    <w:basedOn w:val="a"/>
    <w:rsid w:val="002A1DE6"/>
    <w:pPr>
      <w:widowControl w:val="0"/>
      <w:suppressAutoHyphens/>
      <w:autoSpaceDE w:val="0"/>
      <w:jc w:val="center"/>
    </w:pPr>
    <w:rPr>
      <w:lang w:val="uk-UA" w:eastAsia="ar-SA"/>
    </w:rPr>
  </w:style>
  <w:style w:type="paragraph" w:customStyle="1" w:styleId="12">
    <w:name w:val="Абзац списка1"/>
    <w:basedOn w:val="a"/>
    <w:rsid w:val="005B6F26"/>
    <w:pPr>
      <w:suppressAutoHyphens/>
      <w:spacing w:after="160"/>
      <w:ind w:left="720"/>
      <w:contextualSpacing/>
    </w:pPr>
    <w:rPr>
      <w:rFonts w:ascii="Liberation Serif" w:eastAsia="SimSun" w:hAnsi="Liberation Serif" w:cs="Arial"/>
      <w:kern w:val="1"/>
      <w:lang w:val="uk-UA" w:eastAsia="zh-CN" w:bidi="hi-IN"/>
    </w:rPr>
  </w:style>
  <w:style w:type="paragraph" w:styleId="af">
    <w:name w:val="endnote text"/>
    <w:basedOn w:val="a"/>
    <w:link w:val="af0"/>
    <w:semiHidden/>
    <w:unhideWhenUsed/>
    <w:rsid w:val="00505871"/>
    <w:rPr>
      <w:sz w:val="20"/>
      <w:szCs w:val="20"/>
    </w:rPr>
  </w:style>
  <w:style w:type="character" w:customStyle="1" w:styleId="af0">
    <w:name w:val="Текст концевой сноски Знак"/>
    <w:basedOn w:val="a0"/>
    <w:link w:val="af"/>
    <w:semiHidden/>
    <w:rsid w:val="00505871"/>
  </w:style>
  <w:style w:type="character" w:styleId="af1">
    <w:name w:val="endnote reference"/>
    <w:semiHidden/>
    <w:unhideWhenUsed/>
    <w:rsid w:val="005058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47201">
      <w:bodyDiv w:val="1"/>
      <w:marLeft w:val="0"/>
      <w:marRight w:val="0"/>
      <w:marTop w:val="0"/>
      <w:marBottom w:val="0"/>
      <w:divBdr>
        <w:top w:val="none" w:sz="0" w:space="0" w:color="auto"/>
        <w:left w:val="none" w:sz="0" w:space="0" w:color="auto"/>
        <w:bottom w:val="none" w:sz="0" w:space="0" w:color="auto"/>
        <w:right w:val="none" w:sz="0" w:space="0" w:color="auto"/>
      </w:divBdr>
    </w:div>
    <w:div w:id="764040139">
      <w:bodyDiv w:val="1"/>
      <w:marLeft w:val="0"/>
      <w:marRight w:val="0"/>
      <w:marTop w:val="0"/>
      <w:marBottom w:val="0"/>
      <w:divBdr>
        <w:top w:val="none" w:sz="0" w:space="0" w:color="auto"/>
        <w:left w:val="none" w:sz="0" w:space="0" w:color="auto"/>
        <w:bottom w:val="none" w:sz="0" w:space="0" w:color="auto"/>
        <w:right w:val="none" w:sz="0" w:space="0" w:color="auto"/>
      </w:divBdr>
    </w:div>
    <w:div w:id="188215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49781-2617-49BA-803A-41E361E6F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867</Words>
  <Characters>4948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Вимоги до подання документів для державної реєстрації проектів (програм)</vt:lpstr>
    </vt:vector>
  </TitlesOfParts>
  <Company>NCU</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Вимоги до подання документів для державної реєстрації проектів (програм)</dc:title>
  <dc:creator>Victoria</dc:creator>
  <cp:lastModifiedBy>PC2</cp:lastModifiedBy>
  <cp:revision>2</cp:revision>
  <cp:lastPrinted>2019-07-23T10:37:00Z</cp:lastPrinted>
  <dcterms:created xsi:type="dcterms:W3CDTF">2022-04-18T14:26:00Z</dcterms:created>
  <dcterms:modified xsi:type="dcterms:W3CDTF">2022-04-18T14:26:00Z</dcterms:modified>
</cp:coreProperties>
</file>